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3B7CE" w14:textId="75B57B77" w:rsidR="006504F1" w:rsidRPr="0081431B" w:rsidRDefault="003B5D30" w:rsidP="00EC3150">
      <w:pPr>
        <w:jc w:val="both"/>
        <w:rPr>
          <w:rFonts w:ascii="Tahoma" w:hAnsi="Tahoma" w:cs="Tahoma"/>
          <w:b/>
          <w:bCs/>
        </w:rPr>
      </w:pPr>
      <w:r w:rsidRPr="0081431B">
        <w:rPr>
          <w:rFonts w:ascii="Tahoma" w:hAnsi="Tahoma" w:cs="Tahoma"/>
          <w:b/>
          <w:bCs/>
        </w:rPr>
        <w:t>Text de referință:</w:t>
      </w:r>
      <w:r w:rsidR="006504F1" w:rsidRPr="0081431B">
        <w:rPr>
          <w:rFonts w:ascii="Tahoma" w:hAnsi="Tahoma" w:cs="Tahoma"/>
          <w:b/>
          <w:bCs/>
        </w:rPr>
        <w:t xml:space="preserve"> Forţa Majoră</w:t>
      </w:r>
    </w:p>
    <w:p w14:paraId="7BA613A1" w14:textId="77777777" w:rsidR="006504F1" w:rsidRPr="0081431B" w:rsidRDefault="006504F1" w:rsidP="00EC3150">
      <w:pPr>
        <w:jc w:val="both"/>
        <w:rPr>
          <w:rFonts w:ascii="Tahoma" w:hAnsi="Tahoma" w:cs="Tahoma"/>
        </w:rPr>
      </w:pPr>
      <w:r w:rsidRPr="0081431B">
        <w:rPr>
          <w:rFonts w:ascii="Tahoma" w:hAnsi="Tahoma" w:cs="Tahoma"/>
        </w:rPr>
        <w:t>Art. 30. (1) Părţile sunt exonerate de orice răspundere pentru neîndeplinirea parţială sau totală a obligaţiilor ce decurg din acest contract, dacă aceasta este rezultatul acţiunii Forţei Majore.</w:t>
      </w:r>
    </w:p>
    <w:p w14:paraId="2D4C0E36" w14:textId="77777777" w:rsidR="006504F1" w:rsidRPr="0081431B" w:rsidRDefault="006504F1" w:rsidP="00EC3150">
      <w:pPr>
        <w:jc w:val="both"/>
        <w:rPr>
          <w:rFonts w:ascii="Tahoma" w:hAnsi="Tahoma" w:cs="Tahoma"/>
        </w:rPr>
      </w:pPr>
      <w:r w:rsidRPr="0081431B">
        <w:rPr>
          <w:rFonts w:ascii="Tahoma" w:hAnsi="Tahoma" w:cs="Tahoma"/>
        </w:rPr>
        <w:t>(2) Circumstanţele de Forţă Majoră sunt cele care pot apărea pe parcursul derulării acestui Contract în urma producerii unor evenimente deosebite cum ar fi calamităţi naturale, război, embargo, care nu au putut fi luate în considerare de Părţi la încheierea Contractului şi care sunt în mod rezonabil în afara voinţei şi controlului Părţilor.</w:t>
      </w:r>
    </w:p>
    <w:p w14:paraId="59C9F7DF" w14:textId="77777777" w:rsidR="006504F1" w:rsidRPr="0081431B" w:rsidRDefault="006504F1" w:rsidP="00EC3150">
      <w:pPr>
        <w:jc w:val="both"/>
        <w:rPr>
          <w:rFonts w:ascii="Tahoma" w:hAnsi="Tahoma" w:cs="Tahoma"/>
        </w:rPr>
      </w:pPr>
      <w:r w:rsidRPr="0081431B">
        <w:rPr>
          <w:rFonts w:ascii="Tahoma" w:hAnsi="Tahoma" w:cs="Tahoma"/>
        </w:rPr>
        <w:t xml:space="preserve"> (3) Partea care invocă Forţa Majoră trebuie să notifice acest lucru în scris celeilalte Părţi în termen de 3 zile de la apariţia acesteia, cu confirmarea organelor competente de la locul producerii evenimentului ce constituie Forţă Majoră şi cu estimarea duratei după care aceasta îşi încetează efectele.</w:t>
      </w:r>
    </w:p>
    <w:p w14:paraId="34370014" w14:textId="77777777" w:rsidR="006504F1" w:rsidRPr="0081431B" w:rsidRDefault="006504F1" w:rsidP="00EC3150">
      <w:pPr>
        <w:jc w:val="both"/>
        <w:rPr>
          <w:rFonts w:ascii="Tahoma" w:hAnsi="Tahoma" w:cs="Tahoma"/>
        </w:rPr>
      </w:pPr>
      <w:r w:rsidRPr="0081431B">
        <w:rPr>
          <w:rFonts w:ascii="Tahoma" w:hAnsi="Tahoma" w:cs="Tahoma"/>
        </w:rPr>
        <w:t>(4) Neîndeplinirea obligaţiei de comunicare a Forţei Majore nu înlătură efectul exonerant de răspundere al acesteia, dar antrenează obligaţia Părţii care o invocă de a repara pagubele cauzate celeilalte Părţi, prin faptul necomunicării.</w:t>
      </w:r>
    </w:p>
    <w:p w14:paraId="3D0ABF7B" w14:textId="77777777" w:rsidR="006504F1" w:rsidRPr="0081431B" w:rsidRDefault="006504F1" w:rsidP="00EC3150">
      <w:pPr>
        <w:jc w:val="both"/>
        <w:rPr>
          <w:rFonts w:ascii="Tahoma" w:hAnsi="Tahoma" w:cs="Tahoma"/>
        </w:rPr>
      </w:pPr>
      <w:r w:rsidRPr="0081431B">
        <w:rPr>
          <w:rFonts w:ascii="Tahoma" w:hAnsi="Tahoma" w:cs="Tahoma"/>
        </w:rPr>
        <w:t>(5) Perioada de Forţă Majoră se va sfârşi atunci când Partea care a emis notificarea conform alin. (2) emite o nouă notificare prin care anunţă că este capabilă să îşi îndeplinească din nou toate obligaţiile ce îi revin prin prezentul Contract şi reia îndeplinirea tuturor obligaţiilor care fac obiectul notificării respective.</w:t>
      </w:r>
    </w:p>
    <w:p w14:paraId="3CEF9B7E" w14:textId="60609EB5" w:rsidR="003B5D30" w:rsidRPr="0081431B" w:rsidRDefault="006504F1" w:rsidP="00EC3150">
      <w:pPr>
        <w:spacing w:after="0" w:line="240" w:lineRule="auto"/>
        <w:jc w:val="both"/>
        <w:rPr>
          <w:rFonts w:ascii="Tahoma" w:hAnsi="Tahoma" w:cs="Tahoma"/>
        </w:rPr>
      </w:pPr>
      <w:r w:rsidRPr="0081431B">
        <w:rPr>
          <w:rFonts w:ascii="Tahoma" w:hAnsi="Tahoma" w:cs="Tahoma"/>
        </w:rPr>
        <w:t>(6) În cazul în care situaţia de Forţă Majoră se prelungeşte pentru mai mult de treizeci (30) de zile consecutive sau pentru mai mult de şaizeci (60) de zile adunate într-o perioadă de un an calendaristic, partea care a primit notificarea de Forţă Majoră poate solicita rezilierea contractului fără preaviz și fără plata penalităților.</w:t>
      </w:r>
    </w:p>
    <w:p w14:paraId="0EAC52D2" w14:textId="03F2067A" w:rsidR="003B5D30" w:rsidRPr="0081431B" w:rsidRDefault="003B5D30" w:rsidP="00EC3150">
      <w:pPr>
        <w:spacing w:after="0" w:line="240" w:lineRule="auto"/>
        <w:jc w:val="both"/>
        <w:rPr>
          <w:rFonts w:ascii="Tahoma" w:hAnsi="Tahoma" w:cs="Tahoma"/>
          <w:b/>
        </w:rPr>
      </w:pPr>
    </w:p>
    <w:p w14:paraId="76EF3508" w14:textId="77777777" w:rsidR="003B5D30" w:rsidRPr="0081431B" w:rsidRDefault="003B5D30" w:rsidP="00EC3150">
      <w:pPr>
        <w:spacing w:after="0" w:line="240" w:lineRule="auto"/>
        <w:jc w:val="both"/>
        <w:rPr>
          <w:rFonts w:ascii="Tahoma" w:hAnsi="Tahoma" w:cs="Tahoma"/>
          <w:b/>
        </w:rPr>
      </w:pPr>
    </w:p>
    <w:p w14:paraId="76E599C9" w14:textId="1E224829" w:rsidR="00042C96" w:rsidRPr="0081431B" w:rsidRDefault="00042C96" w:rsidP="00EC3150">
      <w:pPr>
        <w:spacing w:after="0" w:line="240" w:lineRule="auto"/>
        <w:jc w:val="both"/>
        <w:rPr>
          <w:rFonts w:ascii="Tahoma" w:hAnsi="Tahoma" w:cs="Tahoma"/>
          <w:b/>
        </w:rPr>
      </w:pPr>
    </w:p>
    <w:tbl>
      <w:tblPr>
        <w:tblStyle w:val="TableGrid"/>
        <w:tblW w:w="15310" w:type="dxa"/>
        <w:tblInd w:w="-714" w:type="dxa"/>
        <w:tblLook w:val="04A0" w:firstRow="1" w:lastRow="0" w:firstColumn="1" w:lastColumn="0" w:noHBand="0" w:noVBand="1"/>
      </w:tblPr>
      <w:tblGrid>
        <w:gridCol w:w="4775"/>
        <w:gridCol w:w="5715"/>
        <w:gridCol w:w="4820"/>
      </w:tblGrid>
      <w:tr w:rsidR="0064601F" w:rsidRPr="0081431B" w14:paraId="1BC04D77" w14:textId="77777777" w:rsidTr="00563234">
        <w:trPr>
          <w:trHeight w:val="428"/>
          <w:tblHeader/>
        </w:trPr>
        <w:tc>
          <w:tcPr>
            <w:tcW w:w="4775" w:type="dxa"/>
            <w:vAlign w:val="center"/>
          </w:tcPr>
          <w:p w14:paraId="649B94B4" w14:textId="77777777" w:rsidR="0064601F" w:rsidRPr="0081431B" w:rsidRDefault="0064601F" w:rsidP="00563234">
            <w:pPr>
              <w:jc w:val="center"/>
              <w:rPr>
                <w:rFonts w:ascii="Tahoma" w:hAnsi="Tahoma" w:cs="Tahoma"/>
              </w:rPr>
            </w:pPr>
            <w:r w:rsidRPr="0081431B">
              <w:rPr>
                <w:rFonts w:ascii="Tahoma" w:hAnsi="Tahoma" w:cs="Tahoma"/>
                <w:b/>
                <w:bCs/>
              </w:rPr>
              <w:t>Observatii/propuneri</w:t>
            </w:r>
          </w:p>
        </w:tc>
        <w:tc>
          <w:tcPr>
            <w:tcW w:w="5715" w:type="dxa"/>
            <w:vAlign w:val="center"/>
          </w:tcPr>
          <w:p w14:paraId="3FA4B534" w14:textId="3621DF82" w:rsidR="0064601F" w:rsidRPr="0081431B" w:rsidRDefault="0064601F" w:rsidP="00563234">
            <w:pPr>
              <w:jc w:val="center"/>
              <w:rPr>
                <w:rFonts w:ascii="Tahoma" w:hAnsi="Tahoma" w:cs="Tahoma"/>
              </w:rPr>
            </w:pPr>
            <w:r w:rsidRPr="0081431B">
              <w:rPr>
                <w:rFonts w:ascii="Tahoma" w:hAnsi="Tahoma" w:cs="Tahoma"/>
                <w:b/>
                <w:bCs/>
              </w:rPr>
              <w:t>Motivație</w:t>
            </w:r>
          </w:p>
        </w:tc>
        <w:tc>
          <w:tcPr>
            <w:tcW w:w="4820" w:type="dxa"/>
            <w:vAlign w:val="center"/>
          </w:tcPr>
          <w:p w14:paraId="0C9E7FF9" w14:textId="47D301CE" w:rsidR="0064601F" w:rsidRPr="0081431B" w:rsidRDefault="008D084D" w:rsidP="00563234">
            <w:pPr>
              <w:jc w:val="center"/>
              <w:rPr>
                <w:rFonts w:ascii="Tahoma" w:hAnsi="Tahoma" w:cs="Tahoma"/>
                <w:b/>
                <w:bCs/>
              </w:rPr>
            </w:pPr>
            <w:r w:rsidRPr="0081431B">
              <w:rPr>
                <w:rFonts w:ascii="Tahoma" w:hAnsi="Tahoma" w:cs="Tahoma"/>
                <w:b/>
                <w:bCs/>
              </w:rPr>
              <w:t>Clarificari OPCOM</w:t>
            </w:r>
            <w:r w:rsidR="00147075">
              <w:rPr>
                <w:rFonts w:ascii="Tahoma" w:hAnsi="Tahoma" w:cs="Tahoma"/>
                <w:b/>
                <w:bCs/>
              </w:rPr>
              <w:t>/ANRE</w:t>
            </w:r>
          </w:p>
        </w:tc>
      </w:tr>
      <w:tr w:rsidR="0064601F" w:rsidRPr="0081431B" w14:paraId="1DD1B7AA" w14:textId="77777777" w:rsidTr="0064601F">
        <w:trPr>
          <w:trHeight w:val="1340"/>
        </w:trPr>
        <w:tc>
          <w:tcPr>
            <w:tcW w:w="4775" w:type="dxa"/>
          </w:tcPr>
          <w:p w14:paraId="6387F384" w14:textId="77777777" w:rsidR="0064601F" w:rsidRPr="0081431B" w:rsidRDefault="0064601F" w:rsidP="00EC3150">
            <w:pPr>
              <w:spacing w:before="120" w:after="120"/>
              <w:jc w:val="both"/>
              <w:rPr>
                <w:rFonts w:ascii="Tahoma" w:eastAsia="Times New Roman" w:hAnsi="Tahoma" w:cs="Tahoma"/>
                <w:b/>
                <w:bCs/>
                <w:noProof/>
              </w:rPr>
            </w:pPr>
            <w:bookmarkStart w:id="0" w:name="_Hlk93589086"/>
            <w:r w:rsidRPr="0081431B">
              <w:rPr>
                <w:rFonts w:ascii="Tahoma" w:eastAsia="Times New Roman" w:hAnsi="Tahoma" w:cs="Tahoma"/>
                <w:b/>
                <w:bCs/>
                <w:noProof/>
              </w:rPr>
              <w:t>HIDROELECTRICA S.A.:</w:t>
            </w:r>
          </w:p>
          <w:p w14:paraId="0CADD535" w14:textId="32C8AB39" w:rsidR="0064601F" w:rsidRPr="0081431B" w:rsidRDefault="00772FC2" w:rsidP="00EC3150">
            <w:pPr>
              <w:jc w:val="both"/>
              <w:rPr>
                <w:rFonts w:ascii="Tahoma" w:hAnsi="Tahoma" w:cs="Tahoma"/>
              </w:rPr>
            </w:pPr>
            <w:r w:rsidRPr="0081431B">
              <w:rPr>
                <w:rFonts w:ascii="Tahoma" w:hAnsi="Tahoma" w:cs="Tahoma"/>
              </w:rPr>
              <w:t>nu este necesară nicio modificare a acestei formulări.</w:t>
            </w:r>
          </w:p>
        </w:tc>
        <w:tc>
          <w:tcPr>
            <w:tcW w:w="5715" w:type="dxa"/>
          </w:tcPr>
          <w:p w14:paraId="4041985B" w14:textId="59A18E43" w:rsidR="0039501F" w:rsidRPr="0081431B" w:rsidRDefault="0039501F" w:rsidP="00EC3150">
            <w:pPr>
              <w:jc w:val="both"/>
              <w:rPr>
                <w:rFonts w:ascii="Tahoma" w:hAnsi="Tahoma" w:cs="Tahoma"/>
                <w:bCs/>
              </w:rPr>
            </w:pPr>
          </w:p>
          <w:p w14:paraId="7D9B0833" w14:textId="4DCA0F98" w:rsidR="00772FC2" w:rsidRPr="0081431B" w:rsidRDefault="0039501F" w:rsidP="00EC3150">
            <w:pPr>
              <w:jc w:val="both"/>
              <w:rPr>
                <w:rFonts w:ascii="Tahoma" w:hAnsi="Tahoma" w:cs="Tahoma"/>
                <w:bCs/>
              </w:rPr>
            </w:pPr>
            <w:r w:rsidRPr="0081431B">
              <w:rPr>
                <w:rFonts w:ascii="Tahoma" w:hAnsi="Tahoma" w:cs="Tahoma"/>
                <w:bCs/>
              </w:rPr>
              <w:t xml:space="preserve">În ceea ce privește observațiile ANRE cu privire la forma în vigoare a art. 30 din contractul standard aplicabil PCCB-NC […] </w:t>
            </w:r>
            <w:r w:rsidR="00772FC2" w:rsidRPr="0081431B">
              <w:rPr>
                <w:rFonts w:ascii="Tahoma" w:hAnsi="Tahoma" w:cs="Tahoma"/>
                <w:bCs/>
              </w:rPr>
              <w:t xml:space="preserve">apreciem că se impune o nouă distincție între instituția forței majore și cea a impreviziunii, respectiv a cazului fortuit. În opinia subscrisei, </w:t>
            </w:r>
            <w:r w:rsidR="00772FC2" w:rsidRPr="0081431B">
              <w:rPr>
                <w:rFonts w:ascii="Tahoma" w:hAnsi="Tahoma" w:cs="Tahoma"/>
                <w:bCs/>
              </w:rPr>
              <w:lastRenderedPageBreak/>
              <w:t xml:space="preserve">reglementarea legală a forței majore din cuprinsul Codului Civil este întocmai reflectată în forma actuală în vigoare a art. 30 din contract și nu este necesară nicio modificare a acestei formulări. </w:t>
            </w:r>
          </w:p>
          <w:p w14:paraId="3F969353" w14:textId="77777777" w:rsidR="00772FC2" w:rsidRPr="0081431B" w:rsidRDefault="00772FC2" w:rsidP="00EC3150">
            <w:pPr>
              <w:jc w:val="both"/>
              <w:rPr>
                <w:rFonts w:ascii="Tahoma" w:hAnsi="Tahoma" w:cs="Tahoma"/>
                <w:bCs/>
              </w:rPr>
            </w:pPr>
            <w:r w:rsidRPr="0081431B">
              <w:rPr>
                <w:rFonts w:ascii="Tahoma" w:hAnsi="Tahoma" w:cs="Tahoma"/>
                <w:bCs/>
              </w:rPr>
              <w:t>Forța majoră, cazul fortuit și impreviziunea sunt instituții de drept distincte, care nu operează concomitent și presupun cerințe diferite de apariție/ existență, generând totodată efecte diferite.</w:t>
            </w:r>
          </w:p>
          <w:p w14:paraId="0E9EA84E" w14:textId="77777777" w:rsidR="00772FC2" w:rsidRPr="0081431B" w:rsidRDefault="00772FC2" w:rsidP="00EC3150">
            <w:pPr>
              <w:jc w:val="both"/>
              <w:rPr>
                <w:rFonts w:ascii="Tahoma" w:hAnsi="Tahoma" w:cs="Tahoma"/>
                <w:bCs/>
              </w:rPr>
            </w:pPr>
            <w:r w:rsidRPr="0081431B">
              <w:rPr>
                <w:rFonts w:ascii="Tahoma" w:hAnsi="Tahoma" w:cs="Tahoma"/>
                <w:bCs/>
              </w:rPr>
              <w:t xml:space="preserve">Potrivit definiției legale din art. 1.351 alin. 2 din Codul Civil, pentru a putea fi reținută existența unei cauze de forța majoră este necesar ca executarea obligațiilor contractuale să fie în mod absolut imposibilă, fiind în prezența unui eveniment cu caracter absolut invincibil si inevitabil, insurmontabil pentru orice persoană. </w:t>
            </w:r>
          </w:p>
          <w:p w14:paraId="77AB60F2" w14:textId="77777777" w:rsidR="00772FC2" w:rsidRPr="0081431B" w:rsidRDefault="00772FC2" w:rsidP="00EC3150">
            <w:pPr>
              <w:jc w:val="both"/>
              <w:rPr>
                <w:rFonts w:ascii="Tahoma" w:hAnsi="Tahoma" w:cs="Tahoma"/>
                <w:bCs/>
              </w:rPr>
            </w:pPr>
            <w:r w:rsidRPr="0081431B">
              <w:rPr>
                <w:rFonts w:ascii="Tahoma" w:hAnsi="Tahoma" w:cs="Tahoma"/>
                <w:bCs/>
              </w:rPr>
              <w:t xml:space="preserve">Cazul fortuit presupune o imposibilitate subiectivă de executare a obligațiilor contractuale. </w:t>
            </w:r>
          </w:p>
          <w:p w14:paraId="04B30EFE" w14:textId="77777777" w:rsidR="00772FC2" w:rsidRPr="0081431B" w:rsidRDefault="00772FC2" w:rsidP="00EC3150">
            <w:pPr>
              <w:jc w:val="both"/>
              <w:rPr>
                <w:rFonts w:ascii="Tahoma" w:hAnsi="Tahoma" w:cs="Tahoma"/>
                <w:bCs/>
              </w:rPr>
            </w:pPr>
            <w:r w:rsidRPr="0081431B">
              <w:rPr>
                <w:rFonts w:ascii="Tahoma" w:hAnsi="Tahoma" w:cs="Tahoma"/>
                <w:bCs/>
              </w:rPr>
              <w:t>Teoria impreviziunii are la bază premisa posibilității de executare a contractului și ia în considerare caracterul excesiv de oneros al unei astfel de executări a obligației datorită unei schimbări excepţionale a împrejurărilor, fiind produs un dezechilibru între contraprestațiile părților, acesta din urmă fiind ipoteza a cărei reglementare pare a fi solicitată de ANRE în cuprinsul observațiilor sale. Potrivit art. 1.271 alin. 1 Cod Civil, regula generală este că părțile sunt ținute să îți execute obligațiile, chiar dacă o astfel de executare a devenit mai oneroasă. În orice caz, considerăm o asemenea clauză contractuală vizând impreviziunea nu ar trebui formulată sau reformulată în cuprinsul secțiunii dedicate forței majore întrucât ar putea crea confuzii.</w:t>
            </w:r>
          </w:p>
          <w:p w14:paraId="6452C91D" w14:textId="77777777" w:rsidR="00772FC2" w:rsidRPr="0081431B" w:rsidRDefault="00772FC2" w:rsidP="00EC3150">
            <w:pPr>
              <w:jc w:val="both"/>
              <w:rPr>
                <w:rFonts w:ascii="Tahoma" w:hAnsi="Tahoma" w:cs="Tahoma"/>
                <w:bCs/>
              </w:rPr>
            </w:pPr>
            <w:r w:rsidRPr="0081431B">
              <w:rPr>
                <w:rFonts w:ascii="Tahoma" w:hAnsi="Tahoma" w:cs="Tahoma"/>
                <w:bCs/>
              </w:rPr>
              <w:t xml:space="preserve">Caracterul imprevizibil și insurmontabil al evenimentului de forța majoră determină o imposibilitate obiectivă de a anticipa și a enumera exhaustiv și limitativ cazurile de </w:t>
            </w:r>
            <w:r w:rsidRPr="0081431B">
              <w:rPr>
                <w:rFonts w:ascii="Tahoma" w:hAnsi="Tahoma" w:cs="Tahoma"/>
                <w:bCs/>
              </w:rPr>
              <w:lastRenderedPageBreak/>
              <w:t>forță majoră, motiv pentru care ele sunt enumerate doar cu titlu generic și exemplificativ. Existența unei posibilități de previzibilitate la momentul încheierii contractului a evenimentul invocat ar exclude întrunirea condițiilor specifice pentru a fi în prezenta unui eveniment de forță majoră care presupune ab initio ca evenimentul să fi fost imprevizibil la data încheierii contractului. Caracteristicile forței majore sunt cele enumerate în art. 1.351 alin. 2 din Codul Civil și nu probabilitatea de apariție sau frecvența apariției ori magnitudinea impactului evenimentului.</w:t>
            </w:r>
          </w:p>
          <w:p w14:paraId="03D8FACB" w14:textId="56FA4922" w:rsidR="0064601F" w:rsidRPr="0081431B" w:rsidRDefault="00772FC2" w:rsidP="00EC3150">
            <w:pPr>
              <w:jc w:val="both"/>
              <w:rPr>
                <w:rFonts w:ascii="Tahoma" w:hAnsi="Tahoma" w:cs="Tahoma"/>
                <w:bCs/>
              </w:rPr>
            </w:pPr>
            <w:r w:rsidRPr="0081431B">
              <w:rPr>
                <w:rFonts w:ascii="Tahoma" w:hAnsi="Tahoma" w:cs="Tahoma"/>
                <w:bCs/>
              </w:rPr>
              <w:t>Îndeplinirea condițiilor aferente forței majore se verifică în fiecare caz în parte, motiv pentru care este necesară și obligatorie solicitarea și obținerea unei dovezi cu privire la existența forței majore, cel mai adesea fiind solicitat sau prezentat un aviz de constatare a forței majore de către entitatea publică competentă conform dispozițiilor legale.</w:t>
            </w:r>
          </w:p>
        </w:tc>
        <w:tc>
          <w:tcPr>
            <w:tcW w:w="4820" w:type="dxa"/>
          </w:tcPr>
          <w:p w14:paraId="07CC6F58" w14:textId="77777777" w:rsidR="00147075" w:rsidRDefault="00147075" w:rsidP="00147075">
            <w:pPr>
              <w:rPr>
                <w:rFonts w:ascii="Tahoma" w:hAnsi="Tahoma" w:cs="Tahoma"/>
                <w:b/>
              </w:rPr>
            </w:pPr>
            <w:r>
              <w:rPr>
                <w:rFonts w:ascii="Tahoma" w:hAnsi="Tahoma" w:cs="Tahoma"/>
                <w:b/>
              </w:rPr>
              <w:lastRenderedPageBreak/>
              <w:t>OPCOM:</w:t>
            </w:r>
          </w:p>
          <w:p w14:paraId="2874332F" w14:textId="77777777" w:rsidR="00147075" w:rsidRDefault="00147075" w:rsidP="00EC3150">
            <w:pPr>
              <w:jc w:val="both"/>
              <w:rPr>
                <w:rFonts w:ascii="Tahoma" w:hAnsi="Tahoma" w:cs="Tahoma"/>
                <w:bCs/>
              </w:rPr>
            </w:pPr>
          </w:p>
          <w:p w14:paraId="179D7E01" w14:textId="48D82E47" w:rsidR="0064601F" w:rsidRPr="0081431B" w:rsidRDefault="007A0574" w:rsidP="00EC3150">
            <w:pPr>
              <w:jc w:val="both"/>
              <w:rPr>
                <w:rFonts w:ascii="Tahoma" w:hAnsi="Tahoma" w:cs="Tahoma"/>
                <w:bCs/>
              </w:rPr>
            </w:pPr>
            <w:r>
              <w:rPr>
                <w:rFonts w:ascii="Tahoma" w:hAnsi="Tahoma" w:cs="Tahoma"/>
                <w:bCs/>
              </w:rPr>
              <w:t>Nu este cazul.</w:t>
            </w:r>
          </w:p>
        </w:tc>
      </w:tr>
      <w:bookmarkEnd w:id="0"/>
      <w:tr w:rsidR="0064601F" w:rsidRPr="0081431B" w14:paraId="7E7D24F1" w14:textId="77777777" w:rsidTr="0064601F">
        <w:trPr>
          <w:trHeight w:val="558"/>
        </w:trPr>
        <w:tc>
          <w:tcPr>
            <w:tcW w:w="4775" w:type="dxa"/>
          </w:tcPr>
          <w:p w14:paraId="7376BB12" w14:textId="5F2B30F6" w:rsidR="0064601F" w:rsidRPr="0081431B" w:rsidRDefault="0064601F" w:rsidP="00EC3150">
            <w:pPr>
              <w:jc w:val="both"/>
              <w:rPr>
                <w:rFonts w:ascii="Tahoma" w:eastAsia="MS Mincho" w:hAnsi="Tahoma" w:cs="Tahoma"/>
                <w:b/>
                <w:bCs/>
              </w:rPr>
            </w:pPr>
            <w:r w:rsidRPr="0081431B">
              <w:rPr>
                <w:rFonts w:ascii="Tahoma" w:eastAsia="MS Mincho" w:hAnsi="Tahoma" w:cs="Tahoma"/>
                <w:b/>
                <w:bCs/>
              </w:rPr>
              <w:lastRenderedPageBreak/>
              <w:t>GEN-I, trgovanje in prodaja elektricne energije, d.o.o.:</w:t>
            </w:r>
          </w:p>
          <w:p w14:paraId="508DC4C7" w14:textId="6983F483" w:rsidR="0064601F" w:rsidRPr="0081431B" w:rsidRDefault="00093F07" w:rsidP="00EC3150">
            <w:pPr>
              <w:jc w:val="both"/>
              <w:rPr>
                <w:rFonts w:ascii="Tahoma" w:hAnsi="Tahoma" w:cs="Tahoma"/>
                <w:i/>
                <w:iCs/>
                <w:color w:val="FF0000"/>
              </w:rPr>
            </w:pPr>
            <w:r w:rsidRPr="0081431B">
              <w:rPr>
                <w:rFonts w:ascii="Tahoma" w:hAnsi="Tahoma" w:cs="Tahoma"/>
                <w:i/>
                <w:iCs/>
                <w:color w:val="FF0000"/>
              </w:rPr>
              <w:t xml:space="preserve"> (2) </w:t>
            </w:r>
            <w:r w:rsidR="00772FC2" w:rsidRPr="0081431B">
              <w:rPr>
                <w:rFonts w:ascii="Tahoma" w:hAnsi="Tahoma" w:cs="Tahoma"/>
                <w:i/>
                <w:iCs/>
                <w:color w:val="FF0000"/>
              </w:rPr>
              <w:t>In cadrul acestui Contract “Forta majora" inseamna un eveniment dincolo de controlul rezonabil al Partii care Invoca Forta Majora (denumita in continuare "Partea care Invoca Forta majora"), pe care aceasta nu l-ar fi putut evita sau depasi in mod rezonabil si care face imposibila indeplinirea de catre Partea care invoca Forta Majora a obligatiilor sale de livrare sau de acceptare, inclusiv, dar fara a se limita la acestea, din cauza uneia sau mai multora dintre urmatoarele:</w:t>
            </w:r>
          </w:p>
          <w:p w14:paraId="69C2E78C" w14:textId="77777777" w:rsidR="00772FC2" w:rsidRPr="0081431B" w:rsidRDefault="00772FC2" w:rsidP="00EC3150">
            <w:pPr>
              <w:tabs>
                <w:tab w:val="num" w:pos="540"/>
              </w:tabs>
              <w:jc w:val="both"/>
              <w:rPr>
                <w:rFonts w:ascii="Tahoma" w:hAnsi="Tahoma" w:cs="Tahoma"/>
                <w:i/>
                <w:iCs/>
                <w:color w:val="FF0000"/>
              </w:rPr>
            </w:pPr>
            <w:r w:rsidRPr="0081431B">
              <w:rPr>
                <w:rFonts w:ascii="Tahoma" w:hAnsi="Tahoma" w:cs="Tahoma"/>
                <w:i/>
                <w:iCs/>
                <w:color w:val="FF0000"/>
              </w:rPr>
              <w:t xml:space="preserve">(a) esecul comunicatiilor sau al sistemelor informatice ale operatorului (operatorilor) de retea relevant(i) care impiedica Partea care </w:t>
            </w:r>
            <w:r w:rsidRPr="0081431B">
              <w:rPr>
                <w:rFonts w:ascii="Tahoma" w:hAnsi="Tahoma" w:cs="Tahoma"/>
                <w:i/>
                <w:iCs/>
                <w:color w:val="FF0000"/>
              </w:rPr>
              <w:lastRenderedPageBreak/>
              <w:t>invoca Forta Majora sa isi indeplineasca obligatiile de livrare sau de acceptare; sau</w:t>
            </w:r>
          </w:p>
          <w:p w14:paraId="47E894BF" w14:textId="0B2B30BA" w:rsidR="00772FC2" w:rsidRPr="0081431B" w:rsidRDefault="00772FC2" w:rsidP="00EC3150">
            <w:pPr>
              <w:tabs>
                <w:tab w:val="num" w:pos="540"/>
              </w:tabs>
              <w:jc w:val="both"/>
              <w:rPr>
                <w:rFonts w:ascii="Tahoma" w:hAnsi="Tahoma" w:cs="Tahoma"/>
                <w:i/>
                <w:iCs/>
                <w:color w:val="FF0000"/>
              </w:rPr>
            </w:pPr>
            <w:r w:rsidRPr="0081431B">
              <w:rPr>
                <w:rFonts w:ascii="Tahoma" w:hAnsi="Tahoma" w:cs="Tahoma"/>
                <w:i/>
                <w:iCs/>
                <w:color w:val="FF0000"/>
              </w:rPr>
              <w:t>(b) suspendarea de catre operatorul de retea relevant a livrarii sau acceptarii sau nerespectarea de catre acesta a obligatiilor Partii care invoca Forta Majora in ceea ce priveste transmiterea notificarilor fizice in temeiul contractului individual.</w:t>
            </w:r>
          </w:p>
          <w:p w14:paraId="12F90705" w14:textId="77777777" w:rsidR="00EB6135" w:rsidRPr="0081431B" w:rsidRDefault="00EB6135" w:rsidP="00EC3150">
            <w:pPr>
              <w:tabs>
                <w:tab w:val="num" w:pos="540"/>
              </w:tabs>
              <w:jc w:val="both"/>
              <w:rPr>
                <w:rFonts w:ascii="Tahoma" w:hAnsi="Tahoma" w:cs="Tahoma"/>
                <w:i/>
                <w:iCs/>
                <w:color w:val="FF0000"/>
              </w:rPr>
            </w:pPr>
          </w:p>
          <w:p w14:paraId="4587EAA6" w14:textId="3A7AD17A" w:rsidR="00772FC2" w:rsidRPr="0081431B" w:rsidRDefault="00772FC2" w:rsidP="00EC3150">
            <w:pPr>
              <w:tabs>
                <w:tab w:val="num" w:pos="540"/>
              </w:tabs>
              <w:spacing w:after="160" w:line="259" w:lineRule="auto"/>
              <w:jc w:val="both"/>
              <w:rPr>
                <w:rFonts w:ascii="Tahoma" w:eastAsia="MS Mincho" w:hAnsi="Tahoma" w:cs="Tahoma"/>
              </w:rPr>
            </w:pPr>
            <w:r w:rsidRPr="0081431B">
              <w:rPr>
                <w:rFonts w:ascii="Tahoma" w:hAnsi="Tahoma" w:cs="Tahoma"/>
                <w:i/>
                <w:iCs/>
                <w:color w:val="FF0000"/>
              </w:rPr>
              <w:t>Pentru evitarea oricarui dubiu, cresterile sau scaderile preturilor la energie electrica nu constituie forta majora."</w:t>
            </w:r>
          </w:p>
        </w:tc>
        <w:tc>
          <w:tcPr>
            <w:tcW w:w="5715" w:type="dxa"/>
          </w:tcPr>
          <w:p w14:paraId="01A9BF4F" w14:textId="3F3AABE3" w:rsidR="0064601F" w:rsidRPr="0081431B" w:rsidRDefault="0064601F" w:rsidP="00EC3150">
            <w:pPr>
              <w:jc w:val="both"/>
              <w:rPr>
                <w:rFonts w:ascii="Tahoma" w:eastAsia="MS Mincho" w:hAnsi="Tahoma" w:cs="Tahoma"/>
              </w:rPr>
            </w:pPr>
          </w:p>
          <w:p w14:paraId="0FAF94B9" w14:textId="4DB1C248" w:rsidR="006504F1" w:rsidRPr="0081431B" w:rsidRDefault="006504F1" w:rsidP="00EC3150">
            <w:pPr>
              <w:jc w:val="both"/>
              <w:rPr>
                <w:rFonts w:ascii="Tahoma" w:hAnsi="Tahoma" w:cs="Tahoma"/>
                <w:bCs/>
              </w:rPr>
            </w:pPr>
            <w:r w:rsidRPr="0081431B">
              <w:rPr>
                <w:rFonts w:ascii="Tahoma" w:hAnsi="Tahoma" w:cs="Tahoma"/>
                <w:bCs/>
              </w:rPr>
              <w:t>[...] prevederea care reglementeaza un eveniment de forta majora trebuie adaptata la specificul bunurilor - energie electrica - astfel incat sa aiba un impact decisiv si insurmontabil asupra livrarii/receptiei acestor bunuri, iar evenimentele de forta majora sa fie descrise cat mai clar posibil prin atributul lor, cu conditia ca consecintele acestora sa nu poata fi atenuate, evitate sau compensate prin masuri luate cu toate eforturile necesare si ca un astfel de eveniment sa faca imposibila in mod obiectiv indeplinirea obligatiilor contractuale de acceptare/livrare a energiei electrice de catre partea reclamanta.</w:t>
            </w:r>
          </w:p>
          <w:p w14:paraId="7C07C89A" w14:textId="77777777" w:rsidR="0064601F" w:rsidRPr="0081431B" w:rsidRDefault="006504F1" w:rsidP="00EC3150">
            <w:pPr>
              <w:jc w:val="both"/>
              <w:rPr>
                <w:rFonts w:ascii="Tahoma" w:hAnsi="Tahoma" w:cs="Tahoma"/>
                <w:bCs/>
              </w:rPr>
            </w:pPr>
            <w:r w:rsidRPr="0081431B">
              <w:rPr>
                <w:rFonts w:ascii="Tahoma" w:hAnsi="Tahoma" w:cs="Tahoma"/>
                <w:bCs/>
              </w:rPr>
              <w:t xml:space="preserve"> In plus, consideram ca este necesar, din cauza experientei recente privind cresterea preturilor, sa adaugam o definitie negativa care sa precizeze ca majorarea/diminuarea preturilor la electricitate nu va fi </w:t>
            </w:r>
            <w:r w:rsidRPr="0081431B">
              <w:rPr>
                <w:rFonts w:ascii="Tahoma" w:hAnsi="Tahoma" w:cs="Tahoma"/>
                <w:bCs/>
              </w:rPr>
              <w:lastRenderedPageBreak/>
              <w:t>considerata ca fiind un eveniment de forta majora. In conformitate cu intelegerea reciproca privind necesitatea reformularii complete a unei astfel de clauze importante,</w:t>
            </w:r>
          </w:p>
          <w:p w14:paraId="51A7BCF9" w14:textId="77777777" w:rsidR="00093F07" w:rsidRPr="0081431B" w:rsidRDefault="00093F07" w:rsidP="00EC3150">
            <w:pPr>
              <w:tabs>
                <w:tab w:val="num" w:pos="540"/>
              </w:tabs>
              <w:jc w:val="both"/>
              <w:rPr>
                <w:rFonts w:ascii="Tahoma" w:hAnsi="Tahoma" w:cs="Tahoma"/>
                <w:bCs/>
              </w:rPr>
            </w:pPr>
            <w:r w:rsidRPr="00563234">
              <w:rPr>
                <w:rFonts w:ascii="Tahoma" w:hAnsi="Tahoma" w:cs="Tahoma"/>
                <w:b/>
              </w:rPr>
              <w:t>GEN-I propune  modificarea alineatului 2, a articolului 30 (prin determinarea a doua evenimente ilustrative care reprezinta o situatie de forta majora) care respecta in totalitate standardul de piata bine stabilit</w:t>
            </w:r>
            <w:r w:rsidRPr="0081431B">
              <w:rPr>
                <w:rFonts w:ascii="Tahoma" w:hAnsi="Tahoma" w:cs="Tahoma"/>
                <w:bCs/>
              </w:rPr>
              <w:t xml:space="preserve"> si care se reflecta si in articolul 7 din Acordul general EFET privind livrarea si acceptarea energiei electrice (denumit in continuare: AG EFET) - care nu ar trebui sa lase nicio indoiala ca reprezinta cel mai inalt standard posibil in ceea ce priveste cadrul contractual in industria de comercializare angro a energiei electrice:</w:t>
            </w:r>
          </w:p>
          <w:p w14:paraId="0A41AA50" w14:textId="5232A599" w:rsidR="00093F07" w:rsidRPr="0081431B" w:rsidRDefault="00093F07" w:rsidP="00EC3150">
            <w:pPr>
              <w:jc w:val="both"/>
              <w:rPr>
                <w:rFonts w:ascii="Tahoma" w:hAnsi="Tahoma" w:cs="Tahoma"/>
                <w:bCs/>
              </w:rPr>
            </w:pPr>
          </w:p>
        </w:tc>
        <w:tc>
          <w:tcPr>
            <w:tcW w:w="4820" w:type="dxa"/>
          </w:tcPr>
          <w:p w14:paraId="6E5CE5CA" w14:textId="77777777" w:rsidR="00147075" w:rsidRDefault="00147075" w:rsidP="00147075">
            <w:pPr>
              <w:rPr>
                <w:rFonts w:ascii="Tahoma" w:hAnsi="Tahoma" w:cs="Tahoma"/>
                <w:b/>
              </w:rPr>
            </w:pPr>
            <w:r>
              <w:rPr>
                <w:rFonts w:ascii="Tahoma" w:hAnsi="Tahoma" w:cs="Tahoma"/>
                <w:b/>
              </w:rPr>
              <w:lastRenderedPageBreak/>
              <w:t>OPCOM:</w:t>
            </w:r>
          </w:p>
          <w:p w14:paraId="3E85A12C" w14:textId="6D3F05D2" w:rsidR="002C32CC" w:rsidRDefault="00147075" w:rsidP="00EC3150">
            <w:pPr>
              <w:jc w:val="both"/>
              <w:rPr>
                <w:rFonts w:ascii="Tahoma" w:hAnsi="Tahoma" w:cs="Tahoma"/>
                <w:bCs/>
              </w:rPr>
            </w:pPr>
            <w:r w:rsidRPr="00147075">
              <w:rPr>
                <w:rFonts w:ascii="Tahoma" w:hAnsi="Tahoma" w:cs="Tahoma"/>
                <w:bCs/>
              </w:rPr>
              <w:t>Propunerea este argumentată diferit comparativ cu alti participanți.</w:t>
            </w:r>
          </w:p>
          <w:p w14:paraId="3309975D" w14:textId="77777777" w:rsidR="002C32CC" w:rsidRDefault="002C32CC" w:rsidP="00EC3150">
            <w:pPr>
              <w:jc w:val="both"/>
              <w:rPr>
                <w:rFonts w:ascii="Tahoma" w:hAnsi="Tahoma" w:cs="Tahoma"/>
                <w:bCs/>
              </w:rPr>
            </w:pPr>
          </w:p>
          <w:p w14:paraId="632F18A3" w14:textId="77777777" w:rsidR="002C32CC" w:rsidRDefault="002C32CC" w:rsidP="00EC3150">
            <w:pPr>
              <w:jc w:val="both"/>
              <w:rPr>
                <w:rFonts w:ascii="Tahoma" w:hAnsi="Tahoma" w:cs="Tahoma"/>
                <w:b/>
              </w:rPr>
            </w:pPr>
            <w:r w:rsidRPr="00147075">
              <w:rPr>
                <w:rFonts w:ascii="Tahoma" w:hAnsi="Tahoma" w:cs="Tahoma"/>
                <w:b/>
              </w:rPr>
              <w:t>ANRE:</w:t>
            </w:r>
          </w:p>
          <w:p w14:paraId="2D568344" w14:textId="3CBA39BA" w:rsidR="002C32CC" w:rsidRPr="002C32CC" w:rsidRDefault="002C32CC" w:rsidP="00EC3150">
            <w:pPr>
              <w:jc w:val="both"/>
              <w:rPr>
                <w:rFonts w:ascii="Tahoma" w:hAnsi="Tahoma" w:cs="Tahoma"/>
                <w:bCs/>
              </w:rPr>
            </w:pPr>
            <w:r>
              <w:rPr>
                <w:rFonts w:ascii="Tahoma" w:hAnsi="Tahoma" w:cs="Tahoma"/>
                <w:bCs/>
              </w:rPr>
              <w:t xml:space="preserve">[...] </w:t>
            </w:r>
            <w:r w:rsidRPr="002C32CC">
              <w:rPr>
                <w:rFonts w:ascii="Tahoma" w:hAnsi="Tahoma" w:cs="Tahoma"/>
                <w:bCs/>
              </w:rPr>
              <w:t>consider</w:t>
            </w:r>
            <w:r>
              <w:rPr>
                <w:rFonts w:ascii="Tahoma" w:hAnsi="Tahoma" w:cs="Tahoma"/>
                <w:bCs/>
              </w:rPr>
              <w:t>am</w:t>
            </w:r>
            <w:r w:rsidRPr="002C32CC">
              <w:rPr>
                <w:rFonts w:ascii="Tahoma" w:hAnsi="Tahoma" w:cs="Tahoma"/>
                <w:bCs/>
              </w:rPr>
              <w:t xml:space="preserve"> ca evenimente locale sau individuale, chiar daca sunt dincolo de controlul </w:t>
            </w:r>
            <w:r>
              <w:rPr>
                <w:rFonts w:ascii="Tahoma" w:hAnsi="Tahoma" w:cs="Tahoma"/>
                <w:bCs/>
              </w:rPr>
              <w:t>partii</w:t>
            </w:r>
            <w:r w:rsidRPr="002C32CC">
              <w:rPr>
                <w:rFonts w:ascii="Tahoma" w:hAnsi="Tahoma" w:cs="Tahoma"/>
                <w:bCs/>
              </w:rPr>
              <w:t xml:space="preserve"> afectate, </w:t>
            </w:r>
            <w:r w:rsidRPr="00147075">
              <w:rPr>
                <w:rFonts w:ascii="Tahoma" w:hAnsi="Tahoma" w:cs="Tahoma"/>
                <w:b/>
              </w:rPr>
              <w:t>nu ar trebui sa conduca</w:t>
            </w:r>
            <w:r w:rsidRPr="002C32CC">
              <w:rPr>
                <w:rFonts w:ascii="Tahoma" w:hAnsi="Tahoma" w:cs="Tahoma"/>
                <w:bCs/>
              </w:rPr>
              <w:t xml:space="preserve"> la invocarea fo</w:t>
            </w:r>
            <w:r>
              <w:rPr>
                <w:rFonts w:ascii="Tahoma" w:hAnsi="Tahoma" w:cs="Tahoma"/>
                <w:bCs/>
              </w:rPr>
              <w:t>rt</w:t>
            </w:r>
            <w:r w:rsidRPr="002C32CC">
              <w:rPr>
                <w:rFonts w:ascii="Tahoma" w:hAnsi="Tahoma" w:cs="Tahoma"/>
                <w:bCs/>
              </w:rPr>
              <w:t>ei majore in cazul in care pot fi surmontate prin utilizarea instrumentelor oferite de mecanismele pietei de energie electrica, de exemplu: diminuarea resurselor primare (apa, v</w:t>
            </w:r>
            <w:r>
              <w:rPr>
                <w:rFonts w:ascii="Tahoma" w:hAnsi="Tahoma" w:cs="Tahoma"/>
                <w:bCs/>
              </w:rPr>
              <w:t>an</w:t>
            </w:r>
            <w:r w:rsidRPr="002C32CC">
              <w:rPr>
                <w:rFonts w:ascii="Tahoma" w:hAnsi="Tahoma" w:cs="Tahoma"/>
                <w:bCs/>
              </w:rPr>
              <w:t xml:space="preserve">t, combustibil), daca nu au un caracter general, prelungit </w:t>
            </w:r>
            <w:r>
              <w:rPr>
                <w:rFonts w:ascii="Tahoma" w:hAnsi="Tahoma" w:cs="Tahoma"/>
                <w:bCs/>
              </w:rPr>
              <w:t>s</w:t>
            </w:r>
            <w:r w:rsidRPr="002C32CC">
              <w:rPr>
                <w:rFonts w:ascii="Tahoma" w:hAnsi="Tahoma" w:cs="Tahoma"/>
                <w:bCs/>
              </w:rPr>
              <w:t>i de o magnitudine exceptiona</w:t>
            </w:r>
            <w:r>
              <w:rPr>
                <w:rFonts w:ascii="Tahoma" w:hAnsi="Tahoma" w:cs="Tahoma"/>
                <w:bCs/>
              </w:rPr>
              <w:t>la</w:t>
            </w:r>
            <w:r w:rsidRPr="002C32CC">
              <w:rPr>
                <w:rFonts w:ascii="Tahoma" w:hAnsi="Tahoma" w:cs="Tahoma"/>
                <w:bCs/>
              </w:rPr>
              <w:t xml:space="preserve">, sau avarierea unor instalatii care nu se datoreaza unui eveniment exceptional </w:t>
            </w:r>
            <w:r w:rsidRPr="002C32CC">
              <w:rPr>
                <w:rFonts w:ascii="Tahoma" w:hAnsi="Tahoma" w:cs="Tahoma"/>
                <w:bCs/>
              </w:rPr>
              <w:lastRenderedPageBreak/>
              <w:t>etc. Co</w:t>
            </w:r>
            <w:r>
              <w:rPr>
                <w:rFonts w:ascii="Tahoma" w:hAnsi="Tahoma" w:cs="Tahoma"/>
                <w:bCs/>
              </w:rPr>
              <w:t>n</w:t>
            </w:r>
            <w:r w:rsidRPr="002C32CC">
              <w:rPr>
                <w:rFonts w:ascii="Tahoma" w:hAnsi="Tahoma" w:cs="Tahoma"/>
                <w:bCs/>
              </w:rPr>
              <w:t>sideram ca pe baza experientei acu</w:t>
            </w:r>
            <w:r>
              <w:rPr>
                <w:rFonts w:ascii="Tahoma" w:hAnsi="Tahoma" w:cs="Tahoma"/>
                <w:bCs/>
              </w:rPr>
              <w:t>m</w:t>
            </w:r>
            <w:r w:rsidRPr="002C32CC">
              <w:rPr>
                <w:rFonts w:ascii="Tahoma" w:hAnsi="Tahoma" w:cs="Tahoma"/>
                <w:bCs/>
              </w:rPr>
              <w:t>ulate, participantii pot enumera astfel de situatii (prevederile contractuale pu</w:t>
            </w:r>
            <w:r>
              <w:rPr>
                <w:rFonts w:ascii="Tahoma" w:hAnsi="Tahoma" w:cs="Tahoma"/>
                <w:bCs/>
              </w:rPr>
              <w:t>ta</w:t>
            </w:r>
            <w:r w:rsidRPr="002C32CC">
              <w:rPr>
                <w:rFonts w:ascii="Tahoma" w:hAnsi="Tahoma" w:cs="Tahoma"/>
                <w:bCs/>
              </w:rPr>
              <w:t>nd fi oric</w:t>
            </w:r>
            <w:r>
              <w:rPr>
                <w:rFonts w:ascii="Tahoma" w:hAnsi="Tahoma" w:cs="Tahoma"/>
                <w:bCs/>
              </w:rPr>
              <w:t>a</w:t>
            </w:r>
            <w:r w:rsidRPr="002C32CC">
              <w:rPr>
                <w:rFonts w:ascii="Tahoma" w:hAnsi="Tahoma" w:cs="Tahoma"/>
                <w:bCs/>
              </w:rPr>
              <w:t>t de detaliate) in scopul de a li</w:t>
            </w:r>
            <w:r>
              <w:rPr>
                <w:rFonts w:ascii="Tahoma" w:hAnsi="Tahoma" w:cs="Tahoma"/>
                <w:bCs/>
              </w:rPr>
              <w:t>m</w:t>
            </w:r>
            <w:r w:rsidRPr="002C32CC">
              <w:rPr>
                <w:rFonts w:ascii="Tahoma" w:hAnsi="Tahoma" w:cs="Tahoma"/>
                <w:bCs/>
              </w:rPr>
              <w:t>ita cat mai mult posibil neclaritatile</w:t>
            </w:r>
            <w:r w:rsidR="00985E13">
              <w:rPr>
                <w:rFonts w:ascii="Tahoma" w:hAnsi="Tahoma" w:cs="Tahoma"/>
                <w:bCs/>
              </w:rPr>
              <w:t>.</w:t>
            </w:r>
          </w:p>
        </w:tc>
      </w:tr>
      <w:tr w:rsidR="0064601F" w:rsidRPr="0081431B" w14:paraId="24158E9A" w14:textId="77777777" w:rsidTr="0064601F">
        <w:trPr>
          <w:trHeight w:val="558"/>
        </w:trPr>
        <w:tc>
          <w:tcPr>
            <w:tcW w:w="4775" w:type="dxa"/>
          </w:tcPr>
          <w:p w14:paraId="7CCBEC40" w14:textId="4BD71BF4" w:rsidR="008D084D" w:rsidRPr="0081431B" w:rsidRDefault="008D084D" w:rsidP="00EC3150">
            <w:pPr>
              <w:jc w:val="both"/>
              <w:rPr>
                <w:rFonts w:ascii="Tahoma" w:eastAsia="MS Mincho" w:hAnsi="Tahoma" w:cs="Tahoma"/>
                <w:b/>
                <w:bCs/>
              </w:rPr>
            </w:pPr>
            <w:r w:rsidRPr="0081431B">
              <w:rPr>
                <w:rFonts w:ascii="Tahoma" w:eastAsia="MS Mincho" w:hAnsi="Tahoma" w:cs="Tahoma"/>
                <w:b/>
                <w:bCs/>
              </w:rPr>
              <w:lastRenderedPageBreak/>
              <w:t>ELECTRICA FURNIZARE S.A.</w:t>
            </w:r>
            <w:r w:rsidR="00772FC2" w:rsidRPr="0081431B">
              <w:rPr>
                <w:rFonts w:ascii="Tahoma" w:eastAsia="MS Mincho" w:hAnsi="Tahoma" w:cs="Tahoma"/>
                <w:b/>
                <w:bCs/>
              </w:rPr>
              <w:t xml:space="preserve"> :</w:t>
            </w:r>
          </w:p>
          <w:p w14:paraId="7D0C4897" w14:textId="601D4C74" w:rsidR="00093F07" w:rsidRPr="0081431B" w:rsidRDefault="00093F07" w:rsidP="00EC3150">
            <w:pPr>
              <w:spacing w:line="276" w:lineRule="auto"/>
              <w:jc w:val="both"/>
              <w:rPr>
                <w:rFonts w:ascii="Tahoma" w:hAnsi="Tahoma" w:cs="Tahoma"/>
                <w:i/>
                <w:iCs/>
                <w:color w:val="FF0000"/>
              </w:rPr>
            </w:pPr>
            <w:r w:rsidRPr="0081431B">
              <w:rPr>
                <w:rFonts w:ascii="Tahoma" w:hAnsi="Tahoma" w:cs="Tahoma"/>
              </w:rPr>
              <w:t xml:space="preserve">(2) </w:t>
            </w:r>
            <w:r w:rsidR="00EB6135" w:rsidRPr="0081431B">
              <w:rPr>
                <w:rFonts w:ascii="Tahoma" w:hAnsi="Tahoma" w:cs="Tahoma"/>
              </w:rPr>
              <w:t>„</w:t>
            </w:r>
            <w:r w:rsidRPr="0081431B">
              <w:rPr>
                <w:rFonts w:ascii="Tahoma" w:hAnsi="Tahoma" w:cs="Tahoma"/>
                <w:i/>
                <w:iCs/>
                <w:color w:val="FF0000"/>
              </w:rPr>
              <w:t xml:space="preserve">Circumstanțele de Forță Majoră înseamnă un eveniment apărut pe parcursul desfășurării contractului, mai presus de controlul rezonabil al Părții care reclamă Cazul de Forță majoră, </w:t>
            </w:r>
          </w:p>
          <w:p w14:paraId="5B49D5B8" w14:textId="77777777" w:rsidR="00093F07" w:rsidRPr="0081431B" w:rsidRDefault="00093F07" w:rsidP="00EC3150">
            <w:pPr>
              <w:spacing w:line="276" w:lineRule="auto"/>
              <w:jc w:val="both"/>
              <w:rPr>
                <w:rFonts w:ascii="Tahoma" w:hAnsi="Tahoma" w:cs="Tahoma"/>
                <w:i/>
                <w:iCs/>
                <w:color w:val="FF0000"/>
              </w:rPr>
            </w:pPr>
            <w:r w:rsidRPr="0081431B">
              <w:rPr>
                <w:rFonts w:ascii="Tahoma" w:hAnsi="Tahoma" w:cs="Tahoma"/>
                <w:i/>
                <w:iCs/>
                <w:color w:val="FF0000"/>
              </w:rPr>
              <w:t>cum ar fi calamități naturale, război, embargo, eveniment pe care Partea nu poate în mod rezonabil evita sau depăși și care pune Partea care invocă forța majoră în imposibilitatea de a-și îndeplini obligațiile de livrare/preluare”. </w:t>
            </w:r>
          </w:p>
          <w:p w14:paraId="165839B5" w14:textId="77777777" w:rsidR="00093F07" w:rsidRPr="0081431B" w:rsidRDefault="00093F07" w:rsidP="00EC3150">
            <w:pPr>
              <w:jc w:val="both"/>
              <w:rPr>
                <w:rFonts w:ascii="Tahoma" w:eastAsia="MS Mincho" w:hAnsi="Tahoma" w:cs="Tahoma"/>
                <w:b/>
                <w:bCs/>
              </w:rPr>
            </w:pPr>
          </w:p>
          <w:p w14:paraId="0425F7C7" w14:textId="349E581C" w:rsidR="0064601F" w:rsidRPr="0081431B" w:rsidRDefault="0064601F" w:rsidP="00EC3150">
            <w:pPr>
              <w:jc w:val="both"/>
              <w:rPr>
                <w:rFonts w:ascii="Tahoma" w:eastAsia="MS Mincho" w:hAnsi="Tahoma" w:cs="Tahoma"/>
              </w:rPr>
            </w:pPr>
          </w:p>
        </w:tc>
        <w:tc>
          <w:tcPr>
            <w:tcW w:w="5715" w:type="dxa"/>
          </w:tcPr>
          <w:p w14:paraId="3F9F46E0" w14:textId="4FBA1760" w:rsidR="0064601F" w:rsidRPr="0081431B" w:rsidRDefault="00093F07" w:rsidP="00EC3150">
            <w:pPr>
              <w:jc w:val="both"/>
              <w:rPr>
                <w:rFonts w:ascii="Tahoma" w:hAnsi="Tahoma" w:cs="Tahoma"/>
                <w:bCs/>
              </w:rPr>
            </w:pPr>
            <w:r w:rsidRPr="0081431B">
              <w:rPr>
                <w:rFonts w:ascii="Tahoma" w:hAnsi="Tahoma" w:cs="Tahoma"/>
                <w:bCs/>
              </w:rPr>
              <w:t>forma propusă obligă partea care invocă forța majoră la un comportament activ în vederea salvării contractului și de asemenea face referire la imposibilitatea efectivă de a nu își îndeplini obligațiile de livrare/preluare.</w:t>
            </w:r>
          </w:p>
        </w:tc>
        <w:tc>
          <w:tcPr>
            <w:tcW w:w="4820" w:type="dxa"/>
          </w:tcPr>
          <w:p w14:paraId="025B97E4" w14:textId="77777777" w:rsidR="0064601F" w:rsidRPr="0081431B" w:rsidRDefault="0064601F" w:rsidP="00EC3150">
            <w:pPr>
              <w:jc w:val="both"/>
              <w:rPr>
                <w:rFonts w:ascii="Tahoma" w:hAnsi="Tahoma" w:cs="Tahoma"/>
                <w:bCs/>
              </w:rPr>
            </w:pPr>
          </w:p>
        </w:tc>
      </w:tr>
      <w:tr w:rsidR="0064601F" w:rsidRPr="0081431B" w14:paraId="18E22BDC" w14:textId="77777777" w:rsidTr="0064601F">
        <w:trPr>
          <w:trHeight w:val="558"/>
        </w:trPr>
        <w:tc>
          <w:tcPr>
            <w:tcW w:w="4775" w:type="dxa"/>
          </w:tcPr>
          <w:p w14:paraId="77430A38" w14:textId="0E4DBF0C" w:rsidR="001E113B" w:rsidRPr="0081431B" w:rsidRDefault="001E113B" w:rsidP="00EC3150">
            <w:pPr>
              <w:jc w:val="both"/>
              <w:rPr>
                <w:rFonts w:ascii="Tahoma" w:eastAsia="MS Mincho" w:hAnsi="Tahoma" w:cs="Tahoma"/>
                <w:b/>
                <w:bCs/>
              </w:rPr>
            </w:pPr>
            <w:r w:rsidRPr="0081431B">
              <w:rPr>
                <w:rFonts w:ascii="Tahoma" w:eastAsia="MS Mincho" w:hAnsi="Tahoma" w:cs="Tahoma"/>
                <w:b/>
                <w:bCs/>
              </w:rPr>
              <w:t>ALRO S.A.</w:t>
            </w:r>
            <w:r w:rsidR="004C3ED6" w:rsidRPr="0081431B">
              <w:rPr>
                <w:rFonts w:ascii="Tahoma" w:eastAsia="MS Mincho" w:hAnsi="Tahoma" w:cs="Tahoma"/>
                <w:b/>
                <w:bCs/>
              </w:rPr>
              <w:t>:</w:t>
            </w:r>
          </w:p>
          <w:p w14:paraId="3AE2A030" w14:textId="77777777" w:rsidR="00EC3150" w:rsidRPr="0081431B" w:rsidRDefault="00EC3150" w:rsidP="00563234">
            <w:pPr>
              <w:spacing w:line="276" w:lineRule="auto"/>
              <w:jc w:val="both"/>
              <w:rPr>
                <w:rFonts w:ascii="Tahoma" w:hAnsi="Tahoma" w:cs="Tahoma"/>
                <w:i/>
                <w:iCs/>
                <w:color w:val="FF0000"/>
              </w:rPr>
            </w:pPr>
            <w:r w:rsidRPr="0081431B">
              <w:rPr>
                <w:rFonts w:ascii="Tahoma" w:hAnsi="Tahoma" w:cs="Tahoma"/>
                <w:i/>
                <w:iCs/>
                <w:color w:val="FF0000"/>
              </w:rPr>
              <w:t xml:space="preserve">Art.30 (1) Forţa majoră se defineşte ca fiind acel eveniment imprevizibil, în afara voinţei </w:t>
            </w:r>
            <w:r w:rsidRPr="0081431B">
              <w:rPr>
                <w:rFonts w:ascii="Tahoma" w:hAnsi="Tahoma" w:cs="Tahoma"/>
                <w:i/>
                <w:iCs/>
                <w:color w:val="FF0000"/>
              </w:rPr>
              <w:lastRenderedPageBreak/>
              <w:t xml:space="preserve">Părţilor şi de neînlăturat, produs ulterior intrării în vigoare a prezentului contract care, prin efectele sale, este de natură să împiedice oricare dintre părţi să-şi îndeplinească în totalitate sau în parte obligaţiile care le revin în conformitate cu clauzele prezentului contract. </w:t>
            </w:r>
          </w:p>
          <w:p w14:paraId="23282030" w14:textId="77777777" w:rsidR="00EC3150" w:rsidRPr="0081431B" w:rsidRDefault="00EC3150" w:rsidP="00563234">
            <w:pPr>
              <w:spacing w:line="276" w:lineRule="auto"/>
              <w:jc w:val="both"/>
              <w:rPr>
                <w:rFonts w:ascii="Tahoma" w:hAnsi="Tahoma" w:cs="Tahoma"/>
                <w:i/>
                <w:iCs/>
                <w:color w:val="FF0000"/>
              </w:rPr>
            </w:pPr>
            <w:r w:rsidRPr="0081431B">
              <w:rPr>
                <w:rFonts w:ascii="Tahoma" w:hAnsi="Tahoma" w:cs="Tahoma"/>
                <w:i/>
                <w:iCs/>
                <w:color w:val="FF0000"/>
              </w:rPr>
              <w:t>(2) Pentru evitarea oricare neînțelegeri, nu reprezintă un eveniment de Forța majora imposibilitatea furnizarii de catre Vanzator catre Cumparator a energiei electrice contractata din motive ce tin direct sau indirect de lipsa acesteia, indiferent de cauza, inclusiv legate de fenomene meteorologice, cum ar fi dar fără a se limita la lipsa vânt, soare, etc., lipsa energiei si/sau a cantitatilor disponibile pe piata de energie etc;”</w:t>
            </w:r>
          </w:p>
          <w:p w14:paraId="2A83293E" w14:textId="7B8BD0DB" w:rsidR="0064601F" w:rsidRPr="0081431B" w:rsidRDefault="0064601F" w:rsidP="00EC3150">
            <w:pPr>
              <w:jc w:val="both"/>
              <w:rPr>
                <w:rFonts w:ascii="Tahoma" w:hAnsi="Tahoma" w:cs="Tahoma"/>
                <w:i/>
                <w:iCs/>
                <w:color w:val="FF0000"/>
              </w:rPr>
            </w:pPr>
          </w:p>
        </w:tc>
        <w:tc>
          <w:tcPr>
            <w:tcW w:w="5715" w:type="dxa"/>
          </w:tcPr>
          <w:p w14:paraId="1AF5074E" w14:textId="77777777" w:rsidR="00EC3150" w:rsidRPr="0081431B" w:rsidRDefault="00EC3150" w:rsidP="00EC3150">
            <w:pPr>
              <w:jc w:val="both"/>
              <w:rPr>
                <w:rFonts w:ascii="Tahoma" w:hAnsi="Tahoma" w:cs="Tahoma"/>
                <w:bCs/>
              </w:rPr>
            </w:pPr>
            <w:r w:rsidRPr="0081431B">
              <w:rPr>
                <w:rFonts w:ascii="Tahoma" w:hAnsi="Tahoma" w:cs="Tahoma"/>
                <w:bCs/>
              </w:rPr>
              <w:lastRenderedPageBreak/>
              <w:t xml:space="preserve">Apreciem, prin aplicarea prevederilor Codului Civil, ca energia electrica (alaturi de alte bunuri) reprezinta un bun de gen, care prin natura sa nu poate pieri si poate fi </w:t>
            </w:r>
            <w:r w:rsidRPr="0081431B">
              <w:rPr>
                <w:rFonts w:ascii="Tahoma" w:hAnsi="Tahoma" w:cs="Tahoma"/>
                <w:bCs/>
              </w:rPr>
              <w:lastRenderedPageBreak/>
              <w:t>gasita in zone neafectate de evenimentul de forta majora. Asadar forta majora nu poate fi invocata cu privire la obligatia de a livra. In  masura in care aceasta a pierit definitiv si nu se poate gasi nicaieri se poate, eventual, vorbi de forta majora.</w:t>
            </w:r>
          </w:p>
          <w:p w14:paraId="4526085D" w14:textId="77777777" w:rsidR="00EC3150" w:rsidRPr="0081431B" w:rsidRDefault="00EC3150" w:rsidP="00EC3150">
            <w:pPr>
              <w:jc w:val="both"/>
              <w:rPr>
                <w:rFonts w:ascii="Tahoma" w:hAnsi="Tahoma" w:cs="Tahoma"/>
                <w:bCs/>
              </w:rPr>
            </w:pPr>
            <w:r w:rsidRPr="0081431B">
              <w:rPr>
                <w:rFonts w:ascii="Tahoma" w:hAnsi="Tahoma" w:cs="Tahoma"/>
                <w:bCs/>
              </w:rPr>
              <w:t>Faptul că obligația de a livra devine mult mai oneroasă, nu justifică un caz de forță majoră, dar poate justifica, eventual impreviziune care, la randul sau poate fi reglementata de parti, in urma negocierii, prin contract.</w:t>
            </w:r>
          </w:p>
          <w:p w14:paraId="04D1FE6D" w14:textId="42E7AAE7" w:rsidR="0064601F" w:rsidRPr="0081431B" w:rsidRDefault="00EC3150" w:rsidP="00EC3150">
            <w:pPr>
              <w:jc w:val="both"/>
              <w:rPr>
                <w:rFonts w:ascii="Tahoma" w:hAnsi="Tahoma" w:cs="Tahoma"/>
                <w:bCs/>
              </w:rPr>
            </w:pPr>
            <w:r w:rsidRPr="0081431B">
              <w:rPr>
                <w:rFonts w:ascii="Tahoma" w:hAnsi="Tahoma" w:cs="Tahoma"/>
                <w:bCs/>
              </w:rPr>
              <w:t>Fata de cele de mai sus, consideram ca definitia fortei majore, pentru a raspunde si cerintelor de stabilitate si predictibilitate judiciara, ar trebui sa prevada exceptiile de la regula generala privind cazul de forta majora si nu o enumerare explicita a cazurilor de forta majora.</w:t>
            </w:r>
          </w:p>
        </w:tc>
        <w:tc>
          <w:tcPr>
            <w:tcW w:w="4820" w:type="dxa"/>
          </w:tcPr>
          <w:p w14:paraId="1B695CEF" w14:textId="77777777" w:rsidR="00147075" w:rsidRPr="00147075" w:rsidRDefault="00147075" w:rsidP="00EC3150">
            <w:pPr>
              <w:jc w:val="both"/>
              <w:rPr>
                <w:rFonts w:ascii="Tahoma" w:hAnsi="Tahoma" w:cs="Tahoma"/>
                <w:b/>
              </w:rPr>
            </w:pPr>
            <w:r w:rsidRPr="00147075">
              <w:rPr>
                <w:rFonts w:ascii="Tahoma" w:hAnsi="Tahoma" w:cs="Tahoma"/>
                <w:b/>
              </w:rPr>
              <w:lastRenderedPageBreak/>
              <w:t>OPCOM:</w:t>
            </w:r>
          </w:p>
          <w:p w14:paraId="253FC5C1" w14:textId="77777777" w:rsidR="00147075" w:rsidRDefault="00147075" w:rsidP="00EC3150">
            <w:pPr>
              <w:jc w:val="both"/>
              <w:rPr>
                <w:rFonts w:ascii="Tahoma" w:hAnsi="Tahoma" w:cs="Tahoma"/>
                <w:bCs/>
              </w:rPr>
            </w:pPr>
          </w:p>
          <w:p w14:paraId="1007C791" w14:textId="341F0641" w:rsidR="0064601F" w:rsidRPr="0081431B" w:rsidRDefault="007A0574" w:rsidP="00EC3150">
            <w:pPr>
              <w:jc w:val="both"/>
              <w:rPr>
                <w:rFonts w:ascii="Tahoma" w:hAnsi="Tahoma" w:cs="Tahoma"/>
                <w:bCs/>
              </w:rPr>
            </w:pPr>
            <w:r w:rsidRPr="007A0574">
              <w:rPr>
                <w:rFonts w:ascii="Tahoma" w:hAnsi="Tahoma" w:cs="Tahoma"/>
                <w:bCs/>
              </w:rPr>
              <w:lastRenderedPageBreak/>
              <w:t>De acord, cu aprobare urrmare a consultarii pubice</w:t>
            </w:r>
          </w:p>
        </w:tc>
      </w:tr>
      <w:tr w:rsidR="0064601F" w:rsidRPr="0081431B" w14:paraId="7A7215F7" w14:textId="77777777" w:rsidTr="0064601F">
        <w:trPr>
          <w:trHeight w:val="558"/>
        </w:trPr>
        <w:tc>
          <w:tcPr>
            <w:tcW w:w="4775" w:type="dxa"/>
          </w:tcPr>
          <w:p w14:paraId="6EE9349A" w14:textId="3555DE95" w:rsidR="004C3ED6" w:rsidRPr="0081431B" w:rsidRDefault="004C3ED6" w:rsidP="00EC3150">
            <w:pPr>
              <w:jc w:val="both"/>
              <w:rPr>
                <w:rFonts w:ascii="Tahoma" w:eastAsia="MS Mincho" w:hAnsi="Tahoma" w:cs="Tahoma"/>
                <w:b/>
                <w:bCs/>
                <w:i/>
                <w:iCs/>
              </w:rPr>
            </w:pPr>
            <w:r w:rsidRPr="0081431B">
              <w:rPr>
                <w:rFonts w:ascii="Tahoma" w:eastAsia="MS Mincho" w:hAnsi="Tahoma" w:cs="Tahoma"/>
                <w:b/>
                <w:bCs/>
              </w:rPr>
              <w:lastRenderedPageBreak/>
              <w:t>ENEL ENERGIE S.A. si ENEL ENERGIE MUNTENIA S.A.:</w:t>
            </w:r>
          </w:p>
          <w:p w14:paraId="45B85E7D" w14:textId="77777777" w:rsidR="00EC3150" w:rsidRPr="0081431B" w:rsidRDefault="00EC3150" w:rsidP="00EC3150">
            <w:pPr>
              <w:pStyle w:val="Heading2"/>
              <w:spacing w:before="100" w:beforeAutospacing="1" w:after="100" w:afterAutospacing="1"/>
              <w:jc w:val="both"/>
              <w:outlineLvl w:val="1"/>
              <w:rPr>
                <w:rFonts w:ascii="Tahoma" w:hAnsi="Tahoma" w:cs="Tahoma"/>
                <w:b w:val="0"/>
                <w:bCs w:val="0"/>
                <w:sz w:val="22"/>
                <w:szCs w:val="22"/>
              </w:rPr>
            </w:pPr>
            <w:r w:rsidRPr="0081431B">
              <w:rPr>
                <w:rFonts w:ascii="Tahoma" w:hAnsi="Tahoma" w:cs="Tahoma"/>
                <w:color w:val="auto"/>
                <w:sz w:val="22"/>
                <w:szCs w:val="22"/>
              </w:rPr>
              <w:lastRenderedPageBreak/>
              <w:t>Art. 30</w:t>
            </w:r>
            <w:r w:rsidRPr="0081431B">
              <w:rPr>
                <w:rFonts w:ascii="Tahoma" w:hAnsi="Tahoma" w:cs="Tahoma"/>
                <w:b w:val="0"/>
                <w:bCs w:val="0"/>
                <w:color w:val="auto"/>
                <w:sz w:val="22"/>
                <w:szCs w:val="22"/>
              </w:rPr>
              <w:t xml:space="preserve">. </w:t>
            </w:r>
            <w:r w:rsidRPr="0081431B">
              <w:rPr>
                <w:rFonts w:ascii="Tahoma" w:hAnsi="Tahoma" w:cs="Tahoma"/>
                <w:b w:val="0"/>
                <w:bCs w:val="0"/>
                <w:i/>
                <w:iCs/>
                <w:color w:val="auto"/>
                <w:sz w:val="22"/>
                <w:szCs w:val="22"/>
              </w:rPr>
              <w:t xml:space="preserve">(1) </w:t>
            </w:r>
            <w:r w:rsidRPr="0081431B">
              <w:rPr>
                <w:rFonts w:ascii="Tahoma" w:hAnsi="Tahoma" w:cs="Tahoma"/>
                <w:b w:val="0"/>
                <w:bCs w:val="0"/>
                <w:i/>
                <w:iCs/>
                <w:color w:val="FF0000"/>
                <w:sz w:val="22"/>
                <w:szCs w:val="22"/>
              </w:rPr>
              <w:t xml:space="preserve">Cazul de forţă majoră este acel eveniment viitor, imprevizibil şi insurmontabil, care exonerează de răspundere Partea care îl invocă, în cazul neexecutării parţiale sau totale a obligaţiilor asumate prin Contract, dacă acesta este invocat în condiţiile legii. </w:t>
            </w:r>
            <w:r w:rsidRPr="0081431B">
              <w:rPr>
                <w:rFonts w:ascii="Tahoma" w:hAnsi="Tahoma" w:cs="Tahoma"/>
                <w:b w:val="0"/>
                <w:bCs w:val="0"/>
                <w:i/>
                <w:iCs/>
                <w:strike/>
                <w:color w:val="FF0000"/>
                <w:sz w:val="22"/>
                <w:szCs w:val="22"/>
              </w:rPr>
              <w:t>Părţile sunt exonerate de orice răspundere pentru neîndeplinirea parţială sau totală a obligaţiilor ce decurg din acest contract, dacă aceasta este rezultatul acţiunii Forţei Majore.</w:t>
            </w:r>
          </w:p>
          <w:p w14:paraId="4D0DC909" w14:textId="46558929" w:rsidR="00EC3150" w:rsidRPr="0081431B" w:rsidRDefault="00EC3150" w:rsidP="00EC3150">
            <w:pPr>
              <w:pStyle w:val="Heading2"/>
              <w:spacing w:before="100" w:beforeAutospacing="1" w:after="100" w:afterAutospacing="1"/>
              <w:jc w:val="both"/>
              <w:outlineLvl w:val="1"/>
              <w:rPr>
                <w:rFonts w:ascii="Tahoma" w:hAnsi="Tahoma" w:cs="Tahoma"/>
                <w:b w:val="0"/>
                <w:bCs w:val="0"/>
                <w:i/>
                <w:iCs/>
                <w:strike/>
                <w:color w:val="FF0000"/>
                <w:sz w:val="22"/>
                <w:szCs w:val="22"/>
              </w:rPr>
            </w:pPr>
            <w:r w:rsidRPr="0081431B">
              <w:rPr>
                <w:rFonts w:ascii="Tahoma" w:hAnsi="Tahoma" w:cs="Tahoma"/>
                <w:b w:val="0"/>
                <w:bCs w:val="0"/>
                <w:color w:val="auto"/>
                <w:sz w:val="22"/>
                <w:szCs w:val="22"/>
              </w:rPr>
              <w:t xml:space="preserve">(2) </w:t>
            </w:r>
            <w:r w:rsidRPr="0081431B">
              <w:rPr>
                <w:rFonts w:ascii="Tahoma" w:hAnsi="Tahoma" w:cs="Tahoma"/>
                <w:b w:val="0"/>
                <w:bCs w:val="0"/>
                <w:i/>
                <w:iCs/>
                <w:color w:val="FF0000"/>
                <w:sz w:val="22"/>
                <w:szCs w:val="22"/>
              </w:rPr>
              <w:t>Părţile sunt exonerate de orice răspundere pentru neîndeplinirea parţială sau totală a obligaţiilor ce decurg din acest contract, dacă aceasta este rezultatul acţiunii Forţei Majore</w:t>
            </w:r>
            <w:r w:rsidRPr="0081431B">
              <w:rPr>
                <w:rFonts w:ascii="Tahoma" w:hAnsi="Tahoma" w:cs="Tahoma"/>
                <w:b w:val="0"/>
                <w:bCs w:val="0"/>
                <w:sz w:val="22"/>
                <w:szCs w:val="22"/>
              </w:rPr>
              <w:t xml:space="preserve">. </w:t>
            </w:r>
            <w:r w:rsidRPr="0081431B">
              <w:rPr>
                <w:rFonts w:ascii="Tahoma" w:hAnsi="Tahoma" w:cs="Tahoma"/>
                <w:b w:val="0"/>
                <w:bCs w:val="0"/>
                <w:i/>
                <w:iCs/>
                <w:strike/>
                <w:color w:val="FF0000"/>
                <w:sz w:val="22"/>
                <w:szCs w:val="22"/>
              </w:rPr>
              <w:t>Circumstanţele de Forţă Majoră sunt cele care pot apărea pe parcursul derulării acestui Contract în urma producerii unor evenimente deosebite cum ar fi calamităţi naturale, război, embargo, care nu au putut fi luate în considerare de Părţi la încheierea Contractului şi care sunt în mod rezonabil în afara voinţei şi controlului Părţilor.</w:t>
            </w:r>
          </w:p>
          <w:p w14:paraId="5795660A" w14:textId="5BC9829C" w:rsidR="00EC3150" w:rsidRPr="0081431B" w:rsidRDefault="00EC3150" w:rsidP="00EC3150">
            <w:pPr>
              <w:pStyle w:val="BodyText"/>
              <w:spacing w:before="120" w:after="120"/>
              <w:jc w:val="both"/>
              <w:rPr>
                <w:rFonts w:ascii="Tahoma" w:hAnsi="Tahoma" w:cs="Tahoma"/>
                <w:sz w:val="22"/>
                <w:szCs w:val="22"/>
                <w:lang w:val="ro-RO"/>
              </w:rPr>
            </w:pPr>
            <w:r w:rsidRPr="0081431B">
              <w:rPr>
                <w:rFonts w:ascii="Tahoma" w:hAnsi="Tahoma" w:cs="Tahoma"/>
                <w:sz w:val="22"/>
                <w:szCs w:val="22"/>
                <w:lang w:val="ro-RO"/>
              </w:rPr>
              <w:t xml:space="preserve">(6) În cazul în care situaţia de Forţă Majoră se prelungeşte pentru mai mult de treizeci (30) de zile consecutive sau pentru mai mult de şaizeci (60) de zile adunate într-o perioadă de un an calendaristic, partea care a primit notificarea de Forţă Majoră poate solicita </w:t>
            </w:r>
            <w:r w:rsidRPr="0081431B">
              <w:rPr>
                <w:rFonts w:ascii="Tahoma" w:hAnsi="Tahoma" w:cs="Tahoma"/>
                <w:i/>
                <w:iCs/>
                <w:strike/>
                <w:color w:val="FF0000"/>
                <w:sz w:val="22"/>
                <w:szCs w:val="22"/>
                <w:lang w:val="ro-RO"/>
              </w:rPr>
              <w:t>rezilierea</w:t>
            </w:r>
            <w:r w:rsidRPr="0081431B">
              <w:rPr>
                <w:rFonts w:ascii="Tahoma" w:hAnsi="Tahoma" w:cs="Tahoma"/>
                <w:sz w:val="22"/>
                <w:szCs w:val="22"/>
                <w:lang w:val="ro-RO"/>
              </w:rPr>
              <w:t xml:space="preserve"> </w:t>
            </w:r>
            <w:r w:rsidRPr="0081431B">
              <w:rPr>
                <w:rFonts w:ascii="Tahoma" w:hAnsi="Tahoma" w:cs="Tahoma"/>
                <w:i/>
                <w:iCs/>
                <w:color w:val="FF0000"/>
                <w:sz w:val="22"/>
                <w:szCs w:val="22"/>
                <w:lang w:val="ro-RO"/>
              </w:rPr>
              <w:t>încetarea</w:t>
            </w:r>
            <w:r w:rsidRPr="0081431B">
              <w:rPr>
                <w:rFonts w:ascii="Tahoma" w:hAnsi="Tahoma" w:cs="Tahoma"/>
                <w:color w:val="FF0000"/>
                <w:sz w:val="22"/>
                <w:szCs w:val="22"/>
                <w:lang w:val="ro-RO"/>
              </w:rPr>
              <w:t xml:space="preserve"> </w:t>
            </w:r>
            <w:r w:rsidRPr="0081431B">
              <w:rPr>
                <w:rFonts w:ascii="Tahoma" w:hAnsi="Tahoma" w:cs="Tahoma"/>
                <w:sz w:val="22"/>
                <w:szCs w:val="22"/>
                <w:lang w:val="ro-RO"/>
              </w:rPr>
              <w:t>contractului fără preaviz și fără plata penalităților.</w:t>
            </w:r>
          </w:p>
          <w:p w14:paraId="5A7BB9D7" w14:textId="19786DEB" w:rsidR="00EC3150" w:rsidRPr="00563234" w:rsidRDefault="00EC3150" w:rsidP="00EC3150">
            <w:pPr>
              <w:rPr>
                <w:rFonts w:ascii="Tahoma" w:hAnsi="Tahoma" w:cs="Tahoma"/>
              </w:rPr>
            </w:pPr>
            <w:r w:rsidRPr="0081431B">
              <w:rPr>
                <w:rFonts w:ascii="Tahoma" w:hAnsi="Tahoma" w:cs="Tahoma"/>
                <w:i/>
                <w:iCs/>
                <w:color w:val="FF0000"/>
              </w:rPr>
              <w:lastRenderedPageBreak/>
              <w:t>(7) În cazul în care Vânzatorul este descarcat de obligatiile de livrare din cauza Cazului de Forta Majora, Cumparatorul va fi descarcat în consecinta de obligatiile de primire si plata. În cazul în care Cumparatorul este descarcat de obligatiile de primire (si implicit plata) din cauza Cazului de Forta Majora, Vânzatorul va fi descarcat în consecinta de obligatiile de livrare.</w:t>
            </w:r>
          </w:p>
          <w:p w14:paraId="5C987316" w14:textId="77777777" w:rsidR="004C3ED6" w:rsidRPr="0081431B" w:rsidRDefault="004C3ED6" w:rsidP="00EC3150">
            <w:pPr>
              <w:jc w:val="both"/>
              <w:rPr>
                <w:rFonts w:ascii="Tahoma" w:eastAsia="MS Mincho" w:hAnsi="Tahoma" w:cs="Tahoma"/>
                <w:i/>
                <w:iCs/>
              </w:rPr>
            </w:pPr>
          </w:p>
          <w:p w14:paraId="1B3CE802" w14:textId="38E1BFEB" w:rsidR="0064601F" w:rsidRPr="0081431B" w:rsidRDefault="0064601F" w:rsidP="00EC3150">
            <w:pPr>
              <w:jc w:val="both"/>
              <w:rPr>
                <w:rFonts w:ascii="Tahoma" w:eastAsia="MS Mincho" w:hAnsi="Tahoma" w:cs="Tahoma"/>
                <w:b/>
              </w:rPr>
            </w:pPr>
          </w:p>
        </w:tc>
        <w:tc>
          <w:tcPr>
            <w:tcW w:w="5715" w:type="dxa"/>
          </w:tcPr>
          <w:p w14:paraId="2A78248B" w14:textId="77777777" w:rsidR="002F39A6" w:rsidRPr="0081431B" w:rsidRDefault="00CA64DF" w:rsidP="00EC3150">
            <w:pPr>
              <w:jc w:val="both"/>
              <w:rPr>
                <w:rFonts w:ascii="Tahoma" w:hAnsi="Tahoma" w:cs="Tahoma"/>
                <w:bCs/>
              </w:rPr>
            </w:pPr>
            <w:r w:rsidRPr="0081431B">
              <w:rPr>
                <w:rFonts w:ascii="Tahoma" w:hAnsi="Tahoma" w:cs="Tahoma"/>
                <w:bCs/>
              </w:rPr>
              <w:lastRenderedPageBreak/>
              <w:t>-</w:t>
            </w:r>
          </w:p>
          <w:p w14:paraId="28BA8F42" w14:textId="77777777" w:rsidR="002F39A6" w:rsidRPr="00563234" w:rsidRDefault="002F39A6" w:rsidP="002F39A6">
            <w:pPr>
              <w:pStyle w:val="Default"/>
              <w:jc w:val="both"/>
              <w:rPr>
                <w:sz w:val="22"/>
                <w:szCs w:val="22"/>
              </w:rPr>
            </w:pPr>
            <w:proofErr w:type="spellStart"/>
            <w:r w:rsidRPr="0081431B">
              <w:rPr>
                <w:sz w:val="22"/>
                <w:szCs w:val="22"/>
              </w:rPr>
              <w:t>Modificări</w:t>
            </w:r>
            <w:proofErr w:type="spellEnd"/>
            <w:r w:rsidRPr="0081431B">
              <w:rPr>
                <w:sz w:val="22"/>
                <w:szCs w:val="22"/>
              </w:rPr>
              <w:t xml:space="preserve"> la art 30. </w:t>
            </w:r>
            <w:proofErr w:type="spellStart"/>
            <w:r w:rsidRPr="0081431B">
              <w:rPr>
                <w:sz w:val="22"/>
                <w:szCs w:val="22"/>
              </w:rPr>
              <w:t>alin</w:t>
            </w:r>
            <w:proofErr w:type="spellEnd"/>
            <w:r w:rsidRPr="0081431B">
              <w:rPr>
                <w:sz w:val="22"/>
                <w:szCs w:val="22"/>
              </w:rPr>
              <w:t xml:space="preserve"> (1) </w:t>
            </w:r>
            <w:proofErr w:type="spellStart"/>
            <w:r w:rsidRPr="0081431B">
              <w:rPr>
                <w:sz w:val="22"/>
                <w:szCs w:val="22"/>
              </w:rPr>
              <w:t>și</w:t>
            </w:r>
            <w:proofErr w:type="spellEnd"/>
            <w:r w:rsidRPr="0081431B">
              <w:rPr>
                <w:sz w:val="22"/>
                <w:szCs w:val="22"/>
              </w:rPr>
              <w:t xml:space="preserve"> (2) </w:t>
            </w:r>
            <w:proofErr w:type="spellStart"/>
            <w:r w:rsidRPr="0081431B">
              <w:rPr>
                <w:sz w:val="22"/>
                <w:szCs w:val="22"/>
              </w:rPr>
              <w:t>și</w:t>
            </w:r>
            <w:proofErr w:type="spellEnd"/>
            <w:r w:rsidRPr="0081431B">
              <w:rPr>
                <w:sz w:val="22"/>
                <w:szCs w:val="22"/>
              </w:rPr>
              <w:t xml:space="preserve"> </w:t>
            </w:r>
            <w:proofErr w:type="spellStart"/>
            <w:r w:rsidRPr="0081431B">
              <w:rPr>
                <w:sz w:val="22"/>
                <w:szCs w:val="22"/>
              </w:rPr>
              <w:t>introducerea</w:t>
            </w:r>
            <w:proofErr w:type="spellEnd"/>
            <w:r w:rsidRPr="0081431B">
              <w:rPr>
                <w:sz w:val="22"/>
                <w:szCs w:val="22"/>
              </w:rPr>
              <w:t xml:space="preserve"> </w:t>
            </w:r>
            <w:proofErr w:type="spellStart"/>
            <w:r w:rsidRPr="0081431B">
              <w:rPr>
                <w:sz w:val="22"/>
                <w:szCs w:val="22"/>
              </w:rPr>
              <w:t>unui</w:t>
            </w:r>
            <w:proofErr w:type="spellEnd"/>
            <w:r w:rsidRPr="0081431B">
              <w:rPr>
                <w:sz w:val="22"/>
                <w:szCs w:val="22"/>
              </w:rPr>
              <w:t xml:space="preserve"> </w:t>
            </w:r>
            <w:proofErr w:type="spellStart"/>
            <w:r w:rsidRPr="0081431B">
              <w:rPr>
                <w:sz w:val="22"/>
                <w:szCs w:val="22"/>
              </w:rPr>
              <w:t>nou</w:t>
            </w:r>
            <w:proofErr w:type="spellEnd"/>
            <w:r w:rsidRPr="0081431B">
              <w:rPr>
                <w:sz w:val="22"/>
                <w:szCs w:val="22"/>
              </w:rPr>
              <w:t xml:space="preserve"> </w:t>
            </w:r>
            <w:proofErr w:type="spellStart"/>
            <w:r w:rsidRPr="0081431B">
              <w:rPr>
                <w:sz w:val="22"/>
                <w:szCs w:val="22"/>
              </w:rPr>
              <w:t>alin</w:t>
            </w:r>
            <w:proofErr w:type="spellEnd"/>
            <w:r w:rsidRPr="0081431B">
              <w:rPr>
                <w:sz w:val="22"/>
                <w:szCs w:val="22"/>
              </w:rPr>
              <w:t xml:space="preserve"> (7): </w:t>
            </w:r>
          </w:p>
          <w:p w14:paraId="0A9D662D" w14:textId="185C5D68" w:rsidR="0064601F" w:rsidRPr="0081431B" w:rsidRDefault="0064601F" w:rsidP="00EC3150">
            <w:pPr>
              <w:jc w:val="both"/>
              <w:rPr>
                <w:rFonts w:ascii="Tahoma" w:hAnsi="Tahoma" w:cs="Tahoma"/>
                <w:bCs/>
              </w:rPr>
            </w:pPr>
          </w:p>
        </w:tc>
        <w:tc>
          <w:tcPr>
            <w:tcW w:w="4820" w:type="dxa"/>
          </w:tcPr>
          <w:p w14:paraId="7852E083" w14:textId="0FBF684C" w:rsidR="00147075" w:rsidRPr="00147075" w:rsidRDefault="00147075" w:rsidP="00EC3150">
            <w:pPr>
              <w:jc w:val="both"/>
              <w:rPr>
                <w:rFonts w:ascii="Tahoma" w:hAnsi="Tahoma" w:cs="Tahoma"/>
                <w:b/>
              </w:rPr>
            </w:pPr>
            <w:r w:rsidRPr="00147075">
              <w:rPr>
                <w:rFonts w:ascii="Tahoma" w:hAnsi="Tahoma" w:cs="Tahoma"/>
                <w:b/>
              </w:rPr>
              <w:t>OPCOM:</w:t>
            </w:r>
          </w:p>
          <w:p w14:paraId="3D10EBAC" w14:textId="77777777" w:rsidR="00147075" w:rsidRPr="00147075" w:rsidRDefault="00147075" w:rsidP="00EC3150">
            <w:pPr>
              <w:jc w:val="both"/>
              <w:rPr>
                <w:rFonts w:ascii="Tahoma" w:hAnsi="Tahoma" w:cs="Tahoma"/>
                <w:b/>
              </w:rPr>
            </w:pPr>
          </w:p>
          <w:p w14:paraId="61E02877" w14:textId="1A92444C" w:rsidR="0064601F" w:rsidRPr="0081431B" w:rsidRDefault="007A0574" w:rsidP="00EC3150">
            <w:pPr>
              <w:jc w:val="both"/>
              <w:rPr>
                <w:rFonts w:ascii="Tahoma" w:hAnsi="Tahoma" w:cs="Tahoma"/>
                <w:bCs/>
              </w:rPr>
            </w:pPr>
            <w:r w:rsidRPr="007A0574">
              <w:rPr>
                <w:rFonts w:ascii="Tahoma" w:hAnsi="Tahoma" w:cs="Tahoma"/>
                <w:bCs/>
              </w:rPr>
              <w:t>De acord, cu aprobare urrmare a consultarii pubice</w:t>
            </w:r>
          </w:p>
        </w:tc>
      </w:tr>
      <w:tr w:rsidR="008736BD" w:rsidRPr="0081431B" w14:paraId="2F641180" w14:textId="77777777" w:rsidTr="0064601F">
        <w:trPr>
          <w:trHeight w:val="558"/>
        </w:trPr>
        <w:tc>
          <w:tcPr>
            <w:tcW w:w="4775" w:type="dxa"/>
          </w:tcPr>
          <w:p w14:paraId="6C669DB4" w14:textId="262E4095" w:rsidR="008736BD" w:rsidRPr="0081431B" w:rsidRDefault="008736BD" w:rsidP="00EC3150">
            <w:pPr>
              <w:jc w:val="both"/>
              <w:rPr>
                <w:rFonts w:ascii="Tahoma" w:eastAsia="MS Mincho" w:hAnsi="Tahoma" w:cs="Tahoma"/>
                <w:b/>
                <w:bCs/>
              </w:rPr>
            </w:pPr>
            <w:r w:rsidRPr="0081431B">
              <w:rPr>
                <w:rFonts w:ascii="Tahoma" w:eastAsia="MS Mincho" w:hAnsi="Tahoma" w:cs="Tahoma"/>
                <w:b/>
                <w:bCs/>
              </w:rPr>
              <w:lastRenderedPageBreak/>
              <w:t>DELGAZ GRID S.A.:</w:t>
            </w:r>
          </w:p>
        </w:tc>
        <w:tc>
          <w:tcPr>
            <w:tcW w:w="5715" w:type="dxa"/>
          </w:tcPr>
          <w:p w14:paraId="37BCF3D5" w14:textId="13079037" w:rsidR="008736BD" w:rsidRPr="0081431B" w:rsidRDefault="002F39A6" w:rsidP="00EC3150">
            <w:pPr>
              <w:jc w:val="both"/>
              <w:rPr>
                <w:rFonts w:ascii="Tahoma" w:hAnsi="Tahoma" w:cs="Tahoma"/>
                <w:bCs/>
              </w:rPr>
            </w:pPr>
            <w:r w:rsidRPr="0081431B">
              <w:rPr>
                <w:rFonts w:ascii="Tahoma" w:hAnsi="Tahoma" w:cs="Tahoma"/>
                <w:bCs/>
              </w:rPr>
              <w:t>Nu propunem modificare</w:t>
            </w:r>
          </w:p>
        </w:tc>
        <w:tc>
          <w:tcPr>
            <w:tcW w:w="4820" w:type="dxa"/>
          </w:tcPr>
          <w:p w14:paraId="66E30C84" w14:textId="77777777" w:rsidR="008736BD" w:rsidRPr="0081431B" w:rsidRDefault="008736BD" w:rsidP="00EC3150">
            <w:pPr>
              <w:jc w:val="both"/>
              <w:rPr>
                <w:rFonts w:ascii="Tahoma" w:hAnsi="Tahoma" w:cs="Tahoma"/>
                <w:bCs/>
              </w:rPr>
            </w:pPr>
          </w:p>
        </w:tc>
      </w:tr>
    </w:tbl>
    <w:p w14:paraId="6550A816" w14:textId="77777777" w:rsidR="0008129D" w:rsidRPr="0081431B" w:rsidRDefault="0008129D" w:rsidP="00EC3150">
      <w:pPr>
        <w:jc w:val="both"/>
        <w:rPr>
          <w:rFonts w:ascii="Tahoma" w:hAnsi="Tahoma" w:cs="Tahoma"/>
        </w:rPr>
      </w:pPr>
    </w:p>
    <w:sectPr w:rsidR="0008129D" w:rsidRPr="0081431B" w:rsidSect="00A16959">
      <w:pgSz w:w="16838" w:h="11906" w:orient="landscape"/>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535D6"/>
    <w:multiLevelType w:val="hybridMultilevel"/>
    <w:tmpl w:val="0BD2C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A6564"/>
    <w:multiLevelType w:val="hybridMultilevel"/>
    <w:tmpl w:val="F9888966"/>
    <w:lvl w:ilvl="0" w:tplc="EA520214">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20E640C"/>
    <w:multiLevelType w:val="hybridMultilevel"/>
    <w:tmpl w:val="CE44920A"/>
    <w:lvl w:ilvl="0" w:tplc="4B6E4C94">
      <w:start w:val="1"/>
      <w:numFmt w:val="decimal"/>
      <w:lvlText w:val="(%1)"/>
      <w:lvlJc w:val="left"/>
      <w:pPr>
        <w:tabs>
          <w:tab w:val="num" w:pos="577"/>
        </w:tabs>
        <w:ind w:left="577" w:hanging="435"/>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DF57C7B"/>
    <w:multiLevelType w:val="hybridMultilevel"/>
    <w:tmpl w:val="9AA2C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132D"/>
    <w:multiLevelType w:val="hybridMultilevel"/>
    <w:tmpl w:val="90D4B2FC"/>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5" w15:restartNumberingAfterBreak="0">
    <w:nsid w:val="37C25E17"/>
    <w:multiLevelType w:val="hybridMultilevel"/>
    <w:tmpl w:val="2DA8FE7E"/>
    <w:lvl w:ilvl="0" w:tplc="FFFFFFFF">
      <w:start w:val="1"/>
      <w:numFmt w:val="decimal"/>
      <w:lvlText w:val="(%1)"/>
      <w:lvlJc w:val="left"/>
      <w:pPr>
        <w:tabs>
          <w:tab w:val="num" w:pos="577"/>
        </w:tabs>
        <w:ind w:left="577" w:hanging="435"/>
      </w:pPr>
      <w:rPr>
        <w:rFonts w:hint="default"/>
        <w:b w:val="0"/>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3B41AF7"/>
    <w:multiLevelType w:val="multilevel"/>
    <w:tmpl w:val="C082DD98"/>
    <w:lvl w:ilvl="0">
      <w:start w:val="5"/>
      <w:numFmt w:val="decimal"/>
      <w:lvlText w:val="%1."/>
      <w:lvlJc w:val="left"/>
      <w:pPr>
        <w:tabs>
          <w:tab w:val="num" w:pos="360"/>
        </w:tabs>
        <w:ind w:left="360" w:hanging="360"/>
      </w:pPr>
      <w:rPr>
        <w:rFonts w:hint="default"/>
      </w:rPr>
    </w:lvl>
    <w:lvl w:ilvl="1">
      <w:start w:val="1"/>
      <w:numFmt w:val="decimal"/>
      <w:isLgl/>
      <w:lvlText w:val="4.%2."/>
      <w:lvlJc w:val="left"/>
      <w:pPr>
        <w:tabs>
          <w:tab w:val="num" w:pos="720"/>
        </w:tabs>
        <w:ind w:left="720" w:hanging="720"/>
      </w:pPr>
      <w:rPr>
        <w:rFonts w:hint="default"/>
        <w:b/>
        <w:color w:val="auto"/>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CC66BC9"/>
    <w:multiLevelType w:val="hybridMultilevel"/>
    <w:tmpl w:val="EB4078DC"/>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7DD108B9"/>
    <w:multiLevelType w:val="hybridMultilevel"/>
    <w:tmpl w:val="C21645E0"/>
    <w:lvl w:ilvl="0" w:tplc="B3EE372A">
      <w:start w:val="1"/>
      <w:numFmt w:val="decimal"/>
      <w:lvlText w:val="(%1)"/>
      <w:lvlJc w:val="left"/>
      <w:pPr>
        <w:tabs>
          <w:tab w:val="num" w:pos="577"/>
        </w:tabs>
        <w:ind w:left="577" w:hanging="435"/>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4"/>
  </w:num>
  <w:num w:numId="4">
    <w:abstractNumId w:val="0"/>
  </w:num>
  <w:num w:numId="5">
    <w:abstractNumId w:val="7"/>
  </w:num>
  <w:num w:numId="6">
    <w:abstractNumId w:val="2"/>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29D"/>
    <w:rsid w:val="0000667C"/>
    <w:rsid w:val="000105AE"/>
    <w:rsid w:val="00015786"/>
    <w:rsid w:val="00021180"/>
    <w:rsid w:val="00042C96"/>
    <w:rsid w:val="000475F4"/>
    <w:rsid w:val="000568EA"/>
    <w:rsid w:val="00071893"/>
    <w:rsid w:val="00076A57"/>
    <w:rsid w:val="00080134"/>
    <w:rsid w:val="0008129D"/>
    <w:rsid w:val="000855AD"/>
    <w:rsid w:val="00085D6C"/>
    <w:rsid w:val="000903E9"/>
    <w:rsid w:val="00093F07"/>
    <w:rsid w:val="000971A4"/>
    <w:rsid w:val="000A23C6"/>
    <w:rsid w:val="000A621D"/>
    <w:rsid w:val="000B04D0"/>
    <w:rsid w:val="000E1E8E"/>
    <w:rsid w:val="000F1DFC"/>
    <w:rsid w:val="000F3D44"/>
    <w:rsid w:val="000F4450"/>
    <w:rsid w:val="000F756A"/>
    <w:rsid w:val="00106727"/>
    <w:rsid w:val="001079C4"/>
    <w:rsid w:val="00110A96"/>
    <w:rsid w:val="00125CBC"/>
    <w:rsid w:val="0013146A"/>
    <w:rsid w:val="0013537E"/>
    <w:rsid w:val="00136947"/>
    <w:rsid w:val="00141010"/>
    <w:rsid w:val="00147075"/>
    <w:rsid w:val="00152FAE"/>
    <w:rsid w:val="001568C0"/>
    <w:rsid w:val="0016522B"/>
    <w:rsid w:val="001714A0"/>
    <w:rsid w:val="0017218E"/>
    <w:rsid w:val="00175D26"/>
    <w:rsid w:val="00177628"/>
    <w:rsid w:val="0018121D"/>
    <w:rsid w:val="001940FF"/>
    <w:rsid w:val="0019616E"/>
    <w:rsid w:val="00196A22"/>
    <w:rsid w:val="001A101C"/>
    <w:rsid w:val="001A37F9"/>
    <w:rsid w:val="001A4A8B"/>
    <w:rsid w:val="001B124F"/>
    <w:rsid w:val="001C7E66"/>
    <w:rsid w:val="001D22E3"/>
    <w:rsid w:val="001D5E67"/>
    <w:rsid w:val="001E113B"/>
    <w:rsid w:val="001E7466"/>
    <w:rsid w:val="001F0E1A"/>
    <w:rsid w:val="00202CA9"/>
    <w:rsid w:val="002073F3"/>
    <w:rsid w:val="00212710"/>
    <w:rsid w:val="00213C65"/>
    <w:rsid w:val="002146BD"/>
    <w:rsid w:val="00215A87"/>
    <w:rsid w:val="00216956"/>
    <w:rsid w:val="002201C2"/>
    <w:rsid w:val="0022701F"/>
    <w:rsid w:val="0022795A"/>
    <w:rsid w:val="002353B5"/>
    <w:rsid w:val="00236A7E"/>
    <w:rsid w:val="00240DF3"/>
    <w:rsid w:val="00246AE4"/>
    <w:rsid w:val="00250BBE"/>
    <w:rsid w:val="0025627D"/>
    <w:rsid w:val="00257256"/>
    <w:rsid w:val="00270A66"/>
    <w:rsid w:val="00273235"/>
    <w:rsid w:val="00285FA2"/>
    <w:rsid w:val="0029521C"/>
    <w:rsid w:val="00295704"/>
    <w:rsid w:val="002A1BDB"/>
    <w:rsid w:val="002C32CC"/>
    <w:rsid w:val="002D4EB6"/>
    <w:rsid w:val="002F2576"/>
    <w:rsid w:val="002F39A6"/>
    <w:rsid w:val="00300AC2"/>
    <w:rsid w:val="00311217"/>
    <w:rsid w:val="00311E81"/>
    <w:rsid w:val="00312DAB"/>
    <w:rsid w:val="00312F4F"/>
    <w:rsid w:val="0031473E"/>
    <w:rsid w:val="00314BD2"/>
    <w:rsid w:val="00316DEF"/>
    <w:rsid w:val="00330C3A"/>
    <w:rsid w:val="00333236"/>
    <w:rsid w:val="00334E4B"/>
    <w:rsid w:val="00343251"/>
    <w:rsid w:val="00351B44"/>
    <w:rsid w:val="003540D4"/>
    <w:rsid w:val="0036092B"/>
    <w:rsid w:val="0036150A"/>
    <w:rsid w:val="00365852"/>
    <w:rsid w:val="00376242"/>
    <w:rsid w:val="00387C28"/>
    <w:rsid w:val="00387F22"/>
    <w:rsid w:val="00393704"/>
    <w:rsid w:val="0039501F"/>
    <w:rsid w:val="003A00CD"/>
    <w:rsid w:val="003A15A6"/>
    <w:rsid w:val="003B5D30"/>
    <w:rsid w:val="003C2C3A"/>
    <w:rsid w:val="003E16DD"/>
    <w:rsid w:val="00407605"/>
    <w:rsid w:val="00410DEF"/>
    <w:rsid w:val="00415300"/>
    <w:rsid w:val="00425C3A"/>
    <w:rsid w:val="00441075"/>
    <w:rsid w:val="00456D02"/>
    <w:rsid w:val="00461791"/>
    <w:rsid w:val="004648FE"/>
    <w:rsid w:val="00467CB5"/>
    <w:rsid w:val="00470FD3"/>
    <w:rsid w:val="00481912"/>
    <w:rsid w:val="004837C2"/>
    <w:rsid w:val="004944A2"/>
    <w:rsid w:val="00494CDF"/>
    <w:rsid w:val="004A0312"/>
    <w:rsid w:val="004A5F5D"/>
    <w:rsid w:val="004A6A79"/>
    <w:rsid w:val="004B1038"/>
    <w:rsid w:val="004B18D1"/>
    <w:rsid w:val="004C200C"/>
    <w:rsid w:val="004C3ED6"/>
    <w:rsid w:val="004E740C"/>
    <w:rsid w:val="004F1859"/>
    <w:rsid w:val="00502224"/>
    <w:rsid w:val="00515482"/>
    <w:rsid w:val="0051679E"/>
    <w:rsid w:val="005224F7"/>
    <w:rsid w:val="00537376"/>
    <w:rsid w:val="005505DA"/>
    <w:rsid w:val="00555071"/>
    <w:rsid w:val="00561360"/>
    <w:rsid w:val="00563234"/>
    <w:rsid w:val="00564BFC"/>
    <w:rsid w:val="0056520B"/>
    <w:rsid w:val="00571518"/>
    <w:rsid w:val="00572800"/>
    <w:rsid w:val="00576F87"/>
    <w:rsid w:val="00581859"/>
    <w:rsid w:val="00581EDA"/>
    <w:rsid w:val="0058735B"/>
    <w:rsid w:val="005939A6"/>
    <w:rsid w:val="005A57C9"/>
    <w:rsid w:val="005A60DC"/>
    <w:rsid w:val="005C3005"/>
    <w:rsid w:val="005C4662"/>
    <w:rsid w:val="005D62CC"/>
    <w:rsid w:val="005D681A"/>
    <w:rsid w:val="005E0D74"/>
    <w:rsid w:val="005E4F26"/>
    <w:rsid w:val="005F1CD2"/>
    <w:rsid w:val="00615A82"/>
    <w:rsid w:val="00615CF1"/>
    <w:rsid w:val="0063052F"/>
    <w:rsid w:val="00631D0B"/>
    <w:rsid w:val="00636339"/>
    <w:rsid w:val="00641FA1"/>
    <w:rsid w:val="0064601F"/>
    <w:rsid w:val="006470FE"/>
    <w:rsid w:val="006504F1"/>
    <w:rsid w:val="00654A36"/>
    <w:rsid w:val="00654E51"/>
    <w:rsid w:val="00656AC5"/>
    <w:rsid w:val="006659D3"/>
    <w:rsid w:val="0067100D"/>
    <w:rsid w:val="00673EC6"/>
    <w:rsid w:val="00684E3E"/>
    <w:rsid w:val="006A12CC"/>
    <w:rsid w:val="006A1FBD"/>
    <w:rsid w:val="006A424A"/>
    <w:rsid w:val="006C639B"/>
    <w:rsid w:val="006E0D17"/>
    <w:rsid w:val="006E764C"/>
    <w:rsid w:val="006E7A84"/>
    <w:rsid w:val="006F128F"/>
    <w:rsid w:val="006F4019"/>
    <w:rsid w:val="007046AB"/>
    <w:rsid w:val="007047C1"/>
    <w:rsid w:val="007068D1"/>
    <w:rsid w:val="00712F29"/>
    <w:rsid w:val="007149C5"/>
    <w:rsid w:val="00714B28"/>
    <w:rsid w:val="00722760"/>
    <w:rsid w:val="00723BD1"/>
    <w:rsid w:val="0073491E"/>
    <w:rsid w:val="00736680"/>
    <w:rsid w:val="00737910"/>
    <w:rsid w:val="007446B4"/>
    <w:rsid w:val="00747502"/>
    <w:rsid w:val="00760D67"/>
    <w:rsid w:val="007702D2"/>
    <w:rsid w:val="00772FC2"/>
    <w:rsid w:val="00775302"/>
    <w:rsid w:val="00792CBA"/>
    <w:rsid w:val="007A0574"/>
    <w:rsid w:val="007A6983"/>
    <w:rsid w:val="007C3751"/>
    <w:rsid w:val="007D315C"/>
    <w:rsid w:val="007E4099"/>
    <w:rsid w:val="007E4712"/>
    <w:rsid w:val="0080044C"/>
    <w:rsid w:val="00800EF9"/>
    <w:rsid w:val="00810C84"/>
    <w:rsid w:val="0081431B"/>
    <w:rsid w:val="00824355"/>
    <w:rsid w:val="008264A9"/>
    <w:rsid w:val="00831EA3"/>
    <w:rsid w:val="0083519A"/>
    <w:rsid w:val="008353A5"/>
    <w:rsid w:val="0083578E"/>
    <w:rsid w:val="00836C7A"/>
    <w:rsid w:val="00840531"/>
    <w:rsid w:val="008420E2"/>
    <w:rsid w:val="00844B92"/>
    <w:rsid w:val="00852747"/>
    <w:rsid w:val="00853690"/>
    <w:rsid w:val="00853F5B"/>
    <w:rsid w:val="00856A27"/>
    <w:rsid w:val="008736BD"/>
    <w:rsid w:val="008858D5"/>
    <w:rsid w:val="00894561"/>
    <w:rsid w:val="008A5B7D"/>
    <w:rsid w:val="008B1962"/>
    <w:rsid w:val="008C049A"/>
    <w:rsid w:val="008D084D"/>
    <w:rsid w:val="008D61BC"/>
    <w:rsid w:val="008E05F7"/>
    <w:rsid w:val="008E0AE4"/>
    <w:rsid w:val="008E4D3A"/>
    <w:rsid w:val="008E5B73"/>
    <w:rsid w:val="008F2A9C"/>
    <w:rsid w:val="008F64C9"/>
    <w:rsid w:val="00911BE5"/>
    <w:rsid w:val="00912FDD"/>
    <w:rsid w:val="0091715E"/>
    <w:rsid w:val="0094278D"/>
    <w:rsid w:val="009445C8"/>
    <w:rsid w:val="00944A81"/>
    <w:rsid w:val="00946A4D"/>
    <w:rsid w:val="00953D03"/>
    <w:rsid w:val="00960C97"/>
    <w:rsid w:val="009701E1"/>
    <w:rsid w:val="00972CE5"/>
    <w:rsid w:val="00974785"/>
    <w:rsid w:val="00974945"/>
    <w:rsid w:val="0097545A"/>
    <w:rsid w:val="009812EF"/>
    <w:rsid w:val="00984744"/>
    <w:rsid w:val="00984992"/>
    <w:rsid w:val="00985E13"/>
    <w:rsid w:val="00992A8E"/>
    <w:rsid w:val="009932E2"/>
    <w:rsid w:val="00994606"/>
    <w:rsid w:val="009A5CDF"/>
    <w:rsid w:val="009A5E70"/>
    <w:rsid w:val="009B0F17"/>
    <w:rsid w:val="009B3635"/>
    <w:rsid w:val="009C3786"/>
    <w:rsid w:val="009D19CC"/>
    <w:rsid w:val="009D3013"/>
    <w:rsid w:val="009E3EC5"/>
    <w:rsid w:val="009E4654"/>
    <w:rsid w:val="009F09B0"/>
    <w:rsid w:val="009F3644"/>
    <w:rsid w:val="00A1236E"/>
    <w:rsid w:val="00A13C46"/>
    <w:rsid w:val="00A16959"/>
    <w:rsid w:val="00A203B3"/>
    <w:rsid w:val="00A42CDE"/>
    <w:rsid w:val="00A52FD2"/>
    <w:rsid w:val="00A57680"/>
    <w:rsid w:val="00A6064B"/>
    <w:rsid w:val="00A650AB"/>
    <w:rsid w:val="00A80C12"/>
    <w:rsid w:val="00A81530"/>
    <w:rsid w:val="00AA13A8"/>
    <w:rsid w:val="00AA747C"/>
    <w:rsid w:val="00AA7A91"/>
    <w:rsid w:val="00AB0818"/>
    <w:rsid w:val="00AB087D"/>
    <w:rsid w:val="00AB1635"/>
    <w:rsid w:val="00AB68D1"/>
    <w:rsid w:val="00AC0B3A"/>
    <w:rsid w:val="00AC7E46"/>
    <w:rsid w:val="00AD481B"/>
    <w:rsid w:val="00AD5DAC"/>
    <w:rsid w:val="00AE42DC"/>
    <w:rsid w:val="00B2298E"/>
    <w:rsid w:val="00B25A76"/>
    <w:rsid w:val="00B300BB"/>
    <w:rsid w:val="00B31EF0"/>
    <w:rsid w:val="00B3679F"/>
    <w:rsid w:val="00B41A2B"/>
    <w:rsid w:val="00B42319"/>
    <w:rsid w:val="00B4461C"/>
    <w:rsid w:val="00B473BD"/>
    <w:rsid w:val="00B51898"/>
    <w:rsid w:val="00B71742"/>
    <w:rsid w:val="00B74AD3"/>
    <w:rsid w:val="00B779A0"/>
    <w:rsid w:val="00B84BBF"/>
    <w:rsid w:val="00B9351F"/>
    <w:rsid w:val="00BB5864"/>
    <w:rsid w:val="00BB6300"/>
    <w:rsid w:val="00BC3B89"/>
    <w:rsid w:val="00BC6803"/>
    <w:rsid w:val="00BC6EEF"/>
    <w:rsid w:val="00BC7A98"/>
    <w:rsid w:val="00BD1403"/>
    <w:rsid w:val="00BE490F"/>
    <w:rsid w:val="00BF0EAB"/>
    <w:rsid w:val="00BF3460"/>
    <w:rsid w:val="00BF4FE1"/>
    <w:rsid w:val="00BF6640"/>
    <w:rsid w:val="00BF7641"/>
    <w:rsid w:val="00C04065"/>
    <w:rsid w:val="00C3336E"/>
    <w:rsid w:val="00C338C9"/>
    <w:rsid w:val="00C34C8D"/>
    <w:rsid w:val="00C368E1"/>
    <w:rsid w:val="00C37B4E"/>
    <w:rsid w:val="00C453FD"/>
    <w:rsid w:val="00C51665"/>
    <w:rsid w:val="00C520F5"/>
    <w:rsid w:val="00C525A1"/>
    <w:rsid w:val="00C52777"/>
    <w:rsid w:val="00C5656C"/>
    <w:rsid w:val="00C6433C"/>
    <w:rsid w:val="00C810E1"/>
    <w:rsid w:val="00C85E8A"/>
    <w:rsid w:val="00C86625"/>
    <w:rsid w:val="00C9218F"/>
    <w:rsid w:val="00CA0FE0"/>
    <w:rsid w:val="00CA64DF"/>
    <w:rsid w:val="00CB39F2"/>
    <w:rsid w:val="00CD0F42"/>
    <w:rsid w:val="00CD2D7E"/>
    <w:rsid w:val="00D03750"/>
    <w:rsid w:val="00D053FE"/>
    <w:rsid w:val="00D10102"/>
    <w:rsid w:val="00D41A6D"/>
    <w:rsid w:val="00D43912"/>
    <w:rsid w:val="00D54883"/>
    <w:rsid w:val="00D63715"/>
    <w:rsid w:val="00D7524A"/>
    <w:rsid w:val="00D81B20"/>
    <w:rsid w:val="00D82166"/>
    <w:rsid w:val="00D9336F"/>
    <w:rsid w:val="00D942AB"/>
    <w:rsid w:val="00DA58A1"/>
    <w:rsid w:val="00DA7E43"/>
    <w:rsid w:val="00DC68E0"/>
    <w:rsid w:val="00DD22D5"/>
    <w:rsid w:val="00DE2D3E"/>
    <w:rsid w:val="00DF02F3"/>
    <w:rsid w:val="00E20C4A"/>
    <w:rsid w:val="00E22249"/>
    <w:rsid w:val="00E22DD7"/>
    <w:rsid w:val="00E37674"/>
    <w:rsid w:val="00E57EE4"/>
    <w:rsid w:val="00E60176"/>
    <w:rsid w:val="00E67AB2"/>
    <w:rsid w:val="00E70925"/>
    <w:rsid w:val="00E7106E"/>
    <w:rsid w:val="00E9072C"/>
    <w:rsid w:val="00EA3512"/>
    <w:rsid w:val="00EA4650"/>
    <w:rsid w:val="00EB33BA"/>
    <w:rsid w:val="00EB6135"/>
    <w:rsid w:val="00EC3150"/>
    <w:rsid w:val="00EC6662"/>
    <w:rsid w:val="00F009F7"/>
    <w:rsid w:val="00F01D4A"/>
    <w:rsid w:val="00F061A5"/>
    <w:rsid w:val="00F1467D"/>
    <w:rsid w:val="00F1544F"/>
    <w:rsid w:val="00F22A72"/>
    <w:rsid w:val="00F22A8C"/>
    <w:rsid w:val="00F657EF"/>
    <w:rsid w:val="00F72599"/>
    <w:rsid w:val="00F7333E"/>
    <w:rsid w:val="00F75484"/>
    <w:rsid w:val="00F835DB"/>
    <w:rsid w:val="00F83AB7"/>
    <w:rsid w:val="00F861F8"/>
    <w:rsid w:val="00F86B81"/>
    <w:rsid w:val="00F8751A"/>
    <w:rsid w:val="00F9007A"/>
    <w:rsid w:val="00F90D52"/>
    <w:rsid w:val="00F92366"/>
    <w:rsid w:val="00FA50DF"/>
    <w:rsid w:val="00FB4FD5"/>
    <w:rsid w:val="00FC3E17"/>
    <w:rsid w:val="00FC40C1"/>
    <w:rsid w:val="00FC4DFD"/>
    <w:rsid w:val="00FD0FF6"/>
    <w:rsid w:val="00FD522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D19D7"/>
  <w15:docId w15:val="{25FDA1EE-0781-43CE-B1CF-8DE51F9F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0D4"/>
  </w:style>
  <w:style w:type="paragraph" w:styleId="Heading1">
    <w:name w:val="heading 1"/>
    <w:basedOn w:val="Normal"/>
    <w:next w:val="Normal"/>
    <w:link w:val="Heading1Char"/>
    <w:qFormat/>
    <w:rsid w:val="00641FA1"/>
    <w:pPr>
      <w:keepNext/>
      <w:spacing w:after="0" w:line="240" w:lineRule="auto"/>
      <w:jc w:val="center"/>
      <w:outlineLvl w:val="0"/>
    </w:pPr>
    <w:rPr>
      <w:rFonts w:ascii="Times New Roman" w:eastAsia="Times New Roman" w:hAnsi="Times New Roman" w:cs="Times New Roman"/>
      <w:b/>
      <w:bCs/>
      <w:noProof/>
      <w:sz w:val="24"/>
      <w:szCs w:val="24"/>
      <w:lang w:val="en-US"/>
    </w:rPr>
  </w:style>
  <w:style w:type="paragraph" w:styleId="Heading2">
    <w:name w:val="heading 2"/>
    <w:basedOn w:val="Normal"/>
    <w:next w:val="Normal"/>
    <w:link w:val="Heading2Char"/>
    <w:uiPriority w:val="9"/>
    <w:semiHidden/>
    <w:unhideWhenUsed/>
    <w:qFormat/>
    <w:rsid w:val="00E709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E05F7"/>
    <w:pPr>
      <w:ind w:left="720"/>
      <w:contextualSpacing/>
    </w:pPr>
    <w:rPr>
      <w:lang w:val="en-US"/>
    </w:rPr>
  </w:style>
  <w:style w:type="character" w:styleId="CommentReference">
    <w:name w:val="annotation reference"/>
    <w:rsid w:val="00212710"/>
    <w:rPr>
      <w:sz w:val="16"/>
      <w:szCs w:val="16"/>
    </w:rPr>
  </w:style>
  <w:style w:type="paragraph" w:styleId="CommentText">
    <w:name w:val="annotation text"/>
    <w:basedOn w:val="Normal"/>
    <w:link w:val="CommentTextChar"/>
    <w:rsid w:val="00212710"/>
    <w:pPr>
      <w:spacing w:after="0" w:line="240" w:lineRule="auto"/>
    </w:pPr>
    <w:rPr>
      <w:rFonts w:ascii="Times New Roman" w:eastAsia="Times New Roman" w:hAnsi="Times New Roman" w:cs="Times New Roman"/>
      <w:sz w:val="20"/>
      <w:szCs w:val="20"/>
      <w:lang w:val="en-US" w:eastAsia="ro-RO"/>
    </w:rPr>
  </w:style>
  <w:style w:type="character" w:customStyle="1" w:styleId="CommentTextChar">
    <w:name w:val="Comment Text Char"/>
    <w:basedOn w:val="DefaultParagraphFont"/>
    <w:link w:val="CommentText"/>
    <w:rsid w:val="00212710"/>
    <w:rPr>
      <w:rFonts w:ascii="Times New Roman" w:eastAsia="Times New Roman" w:hAnsi="Times New Roman" w:cs="Times New Roman"/>
      <w:sz w:val="20"/>
      <w:szCs w:val="20"/>
      <w:lang w:val="en-US" w:eastAsia="ro-RO"/>
    </w:rPr>
  </w:style>
  <w:style w:type="paragraph" w:styleId="BalloonText">
    <w:name w:val="Balloon Text"/>
    <w:basedOn w:val="Normal"/>
    <w:link w:val="BalloonTextChar"/>
    <w:uiPriority w:val="99"/>
    <w:semiHidden/>
    <w:unhideWhenUsed/>
    <w:rsid w:val="00212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710"/>
    <w:rPr>
      <w:rFonts w:ascii="Tahoma" w:hAnsi="Tahoma" w:cs="Tahoma"/>
      <w:sz w:val="16"/>
      <w:szCs w:val="16"/>
    </w:rPr>
  </w:style>
  <w:style w:type="character" w:customStyle="1" w:styleId="Heading1Char">
    <w:name w:val="Heading 1 Char"/>
    <w:basedOn w:val="DefaultParagraphFont"/>
    <w:link w:val="Heading1"/>
    <w:rsid w:val="00641FA1"/>
    <w:rPr>
      <w:rFonts w:ascii="Times New Roman" w:eastAsia="Times New Roman" w:hAnsi="Times New Roman" w:cs="Times New Roman"/>
      <w:b/>
      <w:bCs/>
      <w:noProof/>
      <w:sz w:val="24"/>
      <w:szCs w:val="24"/>
      <w:lang w:val="en-US"/>
    </w:rPr>
  </w:style>
  <w:style w:type="paragraph" w:styleId="BodyText">
    <w:name w:val="Body Text"/>
    <w:basedOn w:val="Normal"/>
    <w:link w:val="BodyTextChar"/>
    <w:rsid w:val="00B9351F"/>
    <w:pPr>
      <w:spacing w:after="0" w:line="240" w:lineRule="auto"/>
      <w:jc w:val="center"/>
    </w:pPr>
    <w:rPr>
      <w:rFonts w:ascii="Times New Roman" w:eastAsia="Times New Roman" w:hAnsi="Times New Roman" w:cs="Times New Roman"/>
      <w:noProof/>
      <w:sz w:val="24"/>
      <w:szCs w:val="24"/>
      <w:lang w:val="en-US"/>
    </w:rPr>
  </w:style>
  <w:style w:type="character" w:customStyle="1" w:styleId="BodyTextChar">
    <w:name w:val="Body Text Char"/>
    <w:basedOn w:val="DefaultParagraphFont"/>
    <w:link w:val="BodyText"/>
    <w:rsid w:val="00B9351F"/>
    <w:rPr>
      <w:rFonts w:ascii="Times New Roman" w:eastAsia="Times New Roman" w:hAnsi="Times New Roman" w:cs="Times New Roman"/>
      <w:noProof/>
      <w:sz w:val="24"/>
      <w:szCs w:val="24"/>
      <w:lang w:val="en-US"/>
    </w:rPr>
  </w:style>
  <w:style w:type="character" w:styleId="Hyperlink">
    <w:name w:val="Hyperlink"/>
    <w:basedOn w:val="DefaultParagraphFont"/>
    <w:uiPriority w:val="99"/>
    <w:semiHidden/>
    <w:unhideWhenUsed/>
    <w:rsid w:val="00C338C9"/>
    <w:rPr>
      <w:color w:val="0000FF"/>
      <w:u w:val="single"/>
    </w:rPr>
  </w:style>
  <w:style w:type="paragraph" w:styleId="NormalWeb">
    <w:name w:val="Normal (Web)"/>
    <w:basedOn w:val="Normal"/>
    <w:uiPriority w:val="99"/>
    <w:unhideWhenUsed/>
    <w:rsid w:val="00974945"/>
    <w:pPr>
      <w:spacing w:after="0" w:line="240" w:lineRule="auto"/>
    </w:pPr>
    <w:rPr>
      <w:rFonts w:ascii="Georgia" w:eastAsia="Times New Roman" w:hAnsi="Georgia" w:cs="Times New Roman"/>
      <w:sz w:val="24"/>
      <w:szCs w:val="24"/>
      <w:lang w:val="en-US"/>
    </w:rPr>
  </w:style>
  <w:style w:type="character" w:customStyle="1" w:styleId="Heading2Char">
    <w:name w:val="Heading 2 Char"/>
    <w:basedOn w:val="DefaultParagraphFont"/>
    <w:link w:val="Heading2"/>
    <w:uiPriority w:val="9"/>
    <w:semiHidden/>
    <w:rsid w:val="00E70925"/>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39501F"/>
    <w:pPr>
      <w:spacing w:after="0" w:line="240" w:lineRule="auto"/>
    </w:pPr>
  </w:style>
  <w:style w:type="paragraph" w:styleId="CommentSubject">
    <w:name w:val="annotation subject"/>
    <w:basedOn w:val="CommentText"/>
    <w:next w:val="CommentText"/>
    <w:link w:val="CommentSubjectChar"/>
    <w:uiPriority w:val="99"/>
    <w:semiHidden/>
    <w:unhideWhenUsed/>
    <w:rsid w:val="0039501F"/>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9501F"/>
    <w:rPr>
      <w:rFonts w:ascii="Times New Roman" w:eastAsia="Times New Roman" w:hAnsi="Times New Roman" w:cs="Times New Roman"/>
      <w:b/>
      <w:bCs/>
      <w:sz w:val="20"/>
      <w:szCs w:val="20"/>
      <w:lang w:val="en-US" w:eastAsia="ro-RO"/>
    </w:rPr>
  </w:style>
  <w:style w:type="paragraph" w:customStyle="1" w:styleId="Default">
    <w:name w:val="Default"/>
    <w:rsid w:val="002F39A6"/>
    <w:pPr>
      <w:autoSpaceDE w:val="0"/>
      <w:autoSpaceDN w:val="0"/>
      <w:adjustRightInd w:val="0"/>
      <w:spacing w:after="0" w:line="240" w:lineRule="auto"/>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83155">
      <w:bodyDiv w:val="1"/>
      <w:marLeft w:val="0"/>
      <w:marRight w:val="0"/>
      <w:marTop w:val="0"/>
      <w:marBottom w:val="0"/>
      <w:divBdr>
        <w:top w:val="none" w:sz="0" w:space="0" w:color="auto"/>
        <w:left w:val="none" w:sz="0" w:space="0" w:color="auto"/>
        <w:bottom w:val="none" w:sz="0" w:space="0" w:color="auto"/>
        <w:right w:val="none" w:sz="0" w:space="0" w:color="auto"/>
      </w:divBdr>
    </w:div>
    <w:div w:id="1640650294">
      <w:bodyDiv w:val="1"/>
      <w:marLeft w:val="0"/>
      <w:marRight w:val="0"/>
      <w:marTop w:val="0"/>
      <w:marBottom w:val="0"/>
      <w:divBdr>
        <w:top w:val="none" w:sz="0" w:space="0" w:color="auto"/>
        <w:left w:val="none" w:sz="0" w:space="0" w:color="auto"/>
        <w:bottom w:val="none" w:sz="0" w:space="0" w:color="auto"/>
        <w:right w:val="none" w:sz="0" w:space="0" w:color="auto"/>
      </w:divBdr>
      <w:divsChild>
        <w:div w:id="1857380084">
          <w:marLeft w:val="0"/>
          <w:marRight w:val="0"/>
          <w:marTop w:val="0"/>
          <w:marBottom w:val="0"/>
          <w:divBdr>
            <w:top w:val="none" w:sz="0" w:space="0" w:color="auto"/>
            <w:left w:val="none" w:sz="0" w:space="0" w:color="auto"/>
            <w:bottom w:val="none" w:sz="0" w:space="0" w:color="auto"/>
            <w:right w:val="none" w:sz="0" w:space="0" w:color="auto"/>
          </w:divBdr>
        </w:div>
      </w:divsChild>
    </w:div>
    <w:div w:id="207219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7</Pages>
  <Words>1885</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Utulete</dc:creator>
  <cp:keywords/>
  <dc:description/>
  <cp:lastModifiedBy>Mihaela Constantinescu</cp:lastModifiedBy>
  <cp:revision>17</cp:revision>
  <dcterms:created xsi:type="dcterms:W3CDTF">2022-01-18T07:12:00Z</dcterms:created>
  <dcterms:modified xsi:type="dcterms:W3CDTF">2022-02-07T15:12:00Z</dcterms:modified>
</cp:coreProperties>
</file>